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25A6A0B5" w:rsidR="00A277BA" w:rsidRPr="00A277BA"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A277BA">
        <w:rPr>
          <w:rFonts w:ascii="Arial" w:eastAsia="SimSun" w:hAnsi="Arial" w:cs="Arial"/>
          <w:b/>
          <w:bCs/>
          <w:sz w:val="20"/>
          <w:szCs w:val="20"/>
          <w:lang w:eastAsia="en-US"/>
        </w:rPr>
        <w:t>3GPP TSG RAN WG1 #10</w:t>
      </w:r>
      <w:r w:rsidR="00C612DE">
        <w:rPr>
          <w:rFonts w:ascii="Arial" w:eastAsia="SimSun" w:hAnsi="Arial" w:cs="Arial"/>
          <w:b/>
          <w:bCs/>
          <w:sz w:val="20"/>
          <w:szCs w:val="20"/>
          <w:lang w:eastAsia="en-US"/>
        </w:rPr>
        <w:t>9</w:t>
      </w:r>
      <w:r w:rsidRPr="00A277BA">
        <w:rPr>
          <w:rFonts w:ascii="Arial" w:eastAsia="SimSun" w:hAnsi="Arial" w:cs="Arial"/>
          <w:b/>
          <w:bCs/>
          <w:sz w:val="20"/>
          <w:szCs w:val="20"/>
          <w:lang w:eastAsia="en-US"/>
        </w:rPr>
        <w:t>-e</w:t>
      </w:r>
      <w:r w:rsidRPr="00A277BA">
        <w:rPr>
          <w:rFonts w:ascii="Arial" w:eastAsia="SimSun" w:hAnsi="Arial" w:cs="Times New Roman"/>
          <w:sz w:val="20"/>
          <w:szCs w:val="20"/>
          <w:lang w:eastAsia="en-US"/>
        </w:rPr>
        <w:tab/>
      </w:r>
      <w:r w:rsidR="00801389" w:rsidRPr="00801389">
        <w:rPr>
          <w:rFonts w:ascii="Arial" w:eastAsia="SimSun" w:hAnsi="Arial" w:cs="Times New Roman"/>
          <w:b/>
          <w:bCs/>
          <w:i/>
          <w:iCs/>
          <w:sz w:val="20"/>
          <w:szCs w:val="20"/>
          <w:lang w:eastAsia="en-US"/>
        </w:rPr>
        <w:t>R1-2203938</w:t>
      </w:r>
    </w:p>
    <w:p w14:paraId="3211EBB9" w14:textId="48B7683E" w:rsidR="00A277BA" w:rsidRPr="00A277BA" w:rsidRDefault="00DE0C5D" w:rsidP="00A277BA">
      <w:pPr>
        <w:tabs>
          <w:tab w:val="left" w:pos="1985"/>
        </w:tabs>
        <w:adjustRightInd w:val="0"/>
        <w:spacing w:line="264" w:lineRule="auto"/>
        <w:rPr>
          <w:rFonts w:ascii="Arial" w:eastAsia="MS Mincho" w:hAnsi="Arial" w:cs="Arial"/>
          <w:b/>
          <w:bCs/>
          <w:kern w:val="2"/>
          <w:sz w:val="20"/>
          <w:szCs w:val="24"/>
          <w:lang w:eastAsia="ja-JP"/>
        </w:rPr>
      </w:pPr>
      <w:r w:rsidRPr="00DE0C5D">
        <w:rPr>
          <w:rFonts w:ascii="Arial" w:eastAsia="MS Mincho" w:hAnsi="Arial" w:cs="Arial"/>
          <w:b/>
          <w:bCs/>
          <w:kern w:val="2"/>
          <w:sz w:val="20"/>
          <w:szCs w:val="24"/>
          <w:lang w:eastAsia="ja-JP"/>
        </w:rPr>
        <w:t xml:space="preserve">e-Meeting, </w:t>
      </w:r>
      <w:r w:rsidR="00C612DE">
        <w:rPr>
          <w:rFonts w:ascii="Arial" w:eastAsia="MS Mincho" w:hAnsi="Arial" w:cs="Arial"/>
          <w:b/>
          <w:bCs/>
          <w:kern w:val="2"/>
          <w:sz w:val="20"/>
          <w:szCs w:val="24"/>
          <w:lang w:eastAsia="ja-JP"/>
        </w:rPr>
        <w:t>May 9</w:t>
      </w:r>
      <w:r w:rsidR="00C612DE" w:rsidRPr="00C612DE">
        <w:rPr>
          <w:rFonts w:ascii="Arial" w:eastAsia="MS Mincho" w:hAnsi="Arial" w:cs="Arial"/>
          <w:b/>
          <w:bCs/>
          <w:kern w:val="2"/>
          <w:sz w:val="20"/>
          <w:szCs w:val="24"/>
          <w:vertAlign w:val="superscript"/>
          <w:lang w:eastAsia="ja-JP"/>
        </w:rPr>
        <w:t>th</w:t>
      </w:r>
      <w:r w:rsidR="00C612DE">
        <w:rPr>
          <w:rFonts w:ascii="Arial" w:eastAsia="MS Mincho" w:hAnsi="Arial" w:cs="Arial"/>
          <w:b/>
          <w:bCs/>
          <w:kern w:val="2"/>
          <w:sz w:val="20"/>
          <w:szCs w:val="24"/>
          <w:lang w:eastAsia="ja-JP"/>
        </w:rPr>
        <w:t xml:space="preserve"> – 20</w:t>
      </w:r>
      <w:r w:rsidR="00C612DE" w:rsidRPr="00C612DE">
        <w:rPr>
          <w:rFonts w:ascii="Arial" w:eastAsia="MS Mincho" w:hAnsi="Arial" w:cs="Arial"/>
          <w:b/>
          <w:bCs/>
          <w:kern w:val="2"/>
          <w:sz w:val="20"/>
          <w:szCs w:val="24"/>
          <w:vertAlign w:val="superscript"/>
          <w:lang w:eastAsia="ja-JP"/>
        </w:rPr>
        <w:t>th</w:t>
      </w:r>
      <w:r w:rsidRPr="00DE0C5D">
        <w:rPr>
          <w:rFonts w:ascii="Arial" w:eastAsia="MS Mincho" w:hAnsi="Arial" w:cs="Arial"/>
          <w:b/>
          <w:bCs/>
          <w:kern w:val="2"/>
          <w:sz w:val="20"/>
          <w:szCs w:val="24"/>
          <w:lang w:eastAsia="ja-JP"/>
        </w:rPr>
        <w:t>,</w:t>
      </w:r>
      <w:r w:rsidR="00A43422">
        <w:rPr>
          <w:rFonts w:ascii="Arial" w:eastAsia="MS Mincho" w:hAnsi="Arial" w:cs="Arial"/>
          <w:b/>
          <w:bCs/>
          <w:kern w:val="2"/>
          <w:sz w:val="20"/>
          <w:szCs w:val="24"/>
          <w:lang w:eastAsia="ja-JP"/>
        </w:rPr>
        <w:t xml:space="preserve"> </w:t>
      </w:r>
      <w:r w:rsidRPr="00DE0C5D">
        <w:rPr>
          <w:rFonts w:ascii="Arial" w:eastAsia="MS Mincho" w:hAnsi="Arial" w:cs="Arial"/>
          <w:b/>
          <w:bCs/>
          <w:kern w:val="2"/>
          <w:sz w:val="20"/>
          <w:szCs w:val="24"/>
          <w:lang w:eastAsia="ja-JP"/>
        </w:rPr>
        <w:t>2022</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16BEEB2F"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r>
      <w:r w:rsidR="000B1487" w:rsidRPr="000B1487">
        <w:rPr>
          <w:rFonts w:ascii="Arial" w:eastAsia="MS Mincho" w:hAnsi="Arial" w:cs="Times New Roman"/>
          <w:b/>
          <w:sz w:val="20"/>
          <w:szCs w:val="20"/>
          <w:lang w:eastAsia="en-US"/>
        </w:rPr>
        <w:t>9.</w:t>
      </w:r>
      <w:r w:rsidR="00F51819">
        <w:rPr>
          <w:rFonts w:ascii="Arial" w:eastAsia="MS Mincho" w:hAnsi="Arial" w:cs="Times New Roman"/>
          <w:b/>
          <w:sz w:val="20"/>
          <w:szCs w:val="20"/>
          <w:lang w:eastAsia="en-US"/>
        </w:rPr>
        <w:t>12</w:t>
      </w:r>
      <w:r w:rsidR="000B1487" w:rsidRPr="000B1487">
        <w:rPr>
          <w:rFonts w:ascii="Arial" w:eastAsia="MS Mincho" w:hAnsi="Arial" w:cs="Times New Roman"/>
          <w:b/>
          <w:sz w:val="20"/>
          <w:szCs w:val="20"/>
          <w:lang w:eastAsia="en-US"/>
        </w:rPr>
        <w:t>.</w:t>
      </w:r>
      <w:r w:rsidR="00F51819">
        <w:rPr>
          <w:rFonts w:ascii="Arial" w:eastAsia="MS Mincho" w:hAnsi="Arial" w:cs="Times New Roman"/>
          <w:b/>
          <w:sz w:val="20"/>
          <w:szCs w:val="20"/>
          <w:lang w:eastAsia="en-US"/>
        </w:rPr>
        <w:t>4</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46C5DA7D" w14:textId="27DD5E87" w:rsidR="000B1487"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F51819">
        <w:rPr>
          <w:rFonts w:ascii="Arial" w:eastAsia="MS Mincho" w:hAnsi="Arial" w:cs="Times New Roman"/>
          <w:b/>
          <w:sz w:val="20"/>
          <w:szCs w:val="20"/>
          <w:lang w:eastAsia="en-US"/>
        </w:rPr>
        <w:t>Discussion</w:t>
      </w:r>
      <w:r w:rsidR="00223DD1">
        <w:rPr>
          <w:rFonts w:ascii="Arial" w:eastAsia="MS Mincho" w:hAnsi="Arial" w:cs="Times New Roman"/>
          <w:b/>
          <w:sz w:val="20"/>
          <w:szCs w:val="20"/>
          <w:lang w:eastAsia="en-US"/>
        </w:rPr>
        <w:t>s</w:t>
      </w:r>
      <w:r w:rsidR="00F51819">
        <w:rPr>
          <w:rFonts w:ascii="Arial" w:eastAsia="MS Mincho" w:hAnsi="Arial" w:cs="Times New Roman"/>
          <w:b/>
          <w:sz w:val="20"/>
          <w:szCs w:val="20"/>
          <w:lang w:eastAsia="en-US"/>
        </w:rPr>
        <w:t xml:space="preserve"> on </w:t>
      </w:r>
      <w:r w:rsidR="00223DD1">
        <w:rPr>
          <w:rFonts w:ascii="Arial" w:eastAsia="MS Mincho" w:hAnsi="Arial" w:cs="Times New Roman"/>
          <w:b/>
          <w:sz w:val="20"/>
          <w:szCs w:val="20"/>
          <w:lang w:eastAsia="en-US"/>
        </w:rPr>
        <w:t xml:space="preserve">NR and IoT </w:t>
      </w:r>
      <w:r w:rsidR="00F51819">
        <w:rPr>
          <w:rFonts w:ascii="Arial" w:eastAsia="MS Mincho" w:hAnsi="Arial" w:cs="Times New Roman"/>
          <w:b/>
          <w:sz w:val="20"/>
          <w:szCs w:val="20"/>
          <w:lang w:eastAsia="en-US"/>
        </w:rPr>
        <w:t xml:space="preserve">NTN </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Heading1"/>
        <w:rPr>
          <w:lang w:eastAsia="en-US"/>
        </w:rPr>
      </w:pPr>
      <w:r w:rsidRPr="00B328F2">
        <w:rPr>
          <w:lang w:eastAsia="en-US"/>
        </w:rPr>
        <w:t>Introduction</w:t>
      </w:r>
    </w:p>
    <w:p w14:paraId="1248D944" w14:textId="75A693FD" w:rsidR="008A2BA9" w:rsidRPr="00A277BA" w:rsidRDefault="008B21BB" w:rsidP="00BC0DBB">
      <w:pPr>
        <w:rPr>
          <w:kern w:val="2"/>
          <w:sz w:val="20"/>
          <w:szCs w:val="24"/>
          <w:lang w:eastAsia="ja-JP"/>
        </w:rPr>
      </w:pPr>
      <w:r>
        <w:t xml:space="preserve">The WIDs for NR NTN and IoT NTN were approved by RAN plenary in </w:t>
      </w:r>
      <w:hyperlink r:id="rId6" w:history="1">
        <w:r w:rsidRPr="001A235A">
          <w:rPr>
            <w:rStyle w:val="Hyperlink"/>
            <w:i/>
            <w:iCs/>
          </w:rPr>
          <w:t>RP-220953</w:t>
        </w:r>
      </w:hyperlink>
      <w:r>
        <w:t xml:space="preserve"> </w:t>
      </w:r>
      <w:r w:rsidR="00C22738">
        <w:t xml:space="preserve">[1] </w:t>
      </w:r>
      <w:r>
        <w:t xml:space="preserve">and </w:t>
      </w:r>
      <w:hyperlink r:id="rId7" w:history="1">
        <w:r w:rsidRPr="001A235A">
          <w:rPr>
            <w:rStyle w:val="Hyperlink"/>
            <w:i/>
            <w:iCs/>
          </w:rPr>
          <w:t>RP-220979</w:t>
        </w:r>
      </w:hyperlink>
      <w:r w:rsidR="00C22738">
        <w:t xml:space="preserve"> [2]</w:t>
      </w:r>
      <w:r>
        <w:t xml:space="preserve">, respectively. In this paper, we will </w:t>
      </w:r>
      <w:r w:rsidR="0043056A" w:rsidRPr="0043056A">
        <w:rPr>
          <w:lang w:eastAsia="en-US"/>
        </w:rPr>
        <w:t>provide our views on the issues related to</w:t>
      </w:r>
      <w:r w:rsidR="0043056A">
        <w:rPr>
          <w:lang w:eastAsia="en-US"/>
        </w:rPr>
        <w:t xml:space="preserve"> supporting PUR for </w:t>
      </w:r>
      <w:r w:rsidR="0043056A" w:rsidRPr="0043056A">
        <w:rPr>
          <w:lang w:eastAsia="en-US"/>
        </w:rPr>
        <w:t>NGSO-based IoT NTN</w:t>
      </w:r>
      <w:r w:rsidR="0043056A">
        <w:rPr>
          <w:lang w:eastAsia="en-US"/>
        </w:rPr>
        <w:t xml:space="preserve"> and</w:t>
      </w:r>
      <w:r w:rsidR="0043056A" w:rsidRPr="0043056A">
        <w:rPr>
          <w:lang w:eastAsia="en-US"/>
        </w:rPr>
        <w:t xml:space="preserve"> beam switching and BWP switching for ‘non-terrestrial networks (NTN)’.</w:t>
      </w:r>
    </w:p>
    <w:p w14:paraId="0C3AFB19" w14:textId="77777777" w:rsidR="0082773D" w:rsidRPr="00B328F2" w:rsidRDefault="0082773D" w:rsidP="00690981">
      <w:pPr>
        <w:pStyle w:val="Heading1"/>
      </w:pPr>
      <w:r w:rsidRPr="00B328F2">
        <w:t xml:space="preserve">Discussion </w:t>
      </w:r>
    </w:p>
    <w:p w14:paraId="4675CD9E" w14:textId="21DAB7DB" w:rsidR="00F51819" w:rsidRDefault="00F51819" w:rsidP="004A6A8B">
      <w:pPr>
        <w:pStyle w:val="Heading2"/>
      </w:pPr>
      <w:r>
        <w:t>Supporting PUR for NGSO</w:t>
      </w:r>
      <w:r w:rsidR="00BC0DBB">
        <w:t>-based</w:t>
      </w:r>
      <w:r>
        <w:t xml:space="preserve"> IoT NTN </w:t>
      </w:r>
    </w:p>
    <w:p w14:paraId="07AFB65A" w14:textId="18AB1BD1" w:rsidR="00684A7D" w:rsidRDefault="00400817" w:rsidP="004A6A8B">
      <w:pPr>
        <w:rPr>
          <w:lang w:eastAsia="ko-KR"/>
        </w:rPr>
      </w:pPr>
      <w:r>
        <w:rPr>
          <w:lang w:eastAsia="ko-KR"/>
        </w:rPr>
        <w:t xml:space="preserve">In R17 IoT NTN, there were discussions on whether to </w:t>
      </w:r>
      <w:r w:rsidR="00377E99">
        <w:rPr>
          <w:lang w:eastAsia="ko-KR"/>
        </w:rPr>
        <w:t>support</w:t>
      </w:r>
      <w:r>
        <w:rPr>
          <w:lang w:eastAsia="ko-KR"/>
        </w:rPr>
        <w:t xml:space="preserve"> PUR for IoT NTN. The following agreement </w:t>
      </w:r>
      <w:r w:rsidR="00377E99">
        <w:rPr>
          <w:lang w:eastAsia="ko-KR"/>
        </w:rPr>
        <w:t>was</w:t>
      </w:r>
      <w:r>
        <w:rPr>
          <w:lang w:eastAsia="ko-KR"/>
        </w:rPr>
        <w:t xml:space="preserve"> made in </w:t>
      </w:r>
      <w:r w:rsidR="00377E99">
        <w:rPr>
          <w:lang w:eastAsia="ko-KR"/>
        </w:rPr>
        <w:t xml:space="preserve">the </w:t>
      </w:r>
      <w:r>
        <w:rPr>
          <w:lang w:eastAsia="ko-KR"/>
        </w:rPr>
        <w:t>RAN</w:t>
      </w:r>
      <w:r w:rsidR="00377E99">
        <w:rPr>
          <w:lang w:eastAsia="ko-KR"/>
        </w:rPr>
        <w:t xml:space="preserve"> </w:t>
      </w:r>
      <w:r>
        <w:rPr>
          <w:lang w:eastAsia="ko-KR"/>
        </w:rPr>
        <w:t xml:space="preserve">1 106bis e-meeting. </w:t>
      </w:r>
    </w:p>
    <w:p w14:paraId="4E5663EC" w14:textId="408C4F36" w:rsidR="00BC0DBB" w:rsidRPr="00BC0DBB" w:rsidRDefault="00BC0DBB" w:rsidP="0099419E">
      <w:pPr>
        <w:spacing w:before="0" w:after="0" w:line="240" w:lineRule="auto"/>
        <w:ind w:left="576"/>
        <w:rPr>
          <w:lang w:eastAsia="ko-KR"/>
        </w:rPr>
      </w:pPr>
      <w:r w:rsidRPr="00BC0DBB">
        <w:rPr>
          <w:i/>
          <w:iCs/>
          <w:highlight w:val="green"/>
          <w:lang w:eastAsia="ko-KR"/>
        </w:rPr>
        <w:t>Agreement in RAN 1 106bis e-meeting</w:t>
      </w:r>
      <w:r>
        <w:rPr>
          <w:i/>
          <w:iCs/>
          <w:lang w:eastAsia="ko-KR"/>
        </w:rPr>
        <w:t>:</w:t>
      </w:r>
      <w:r w:rsidRPr="00BC0DBB">
        <w:rPr>
          <w:i/>
          <w:iCs/>
          <w:lang w:eastAsia="ko-KR"/>
        </w:rPr>
        <w:t> </w:t>
      </w:r>
    </w:p>
    <w:p w14:paraId="634423B5" w14:textId="77777777" w:rsidR="00BC0DBB" w:rsidRPr="00BC0DBB" w:rsidRDefault="00BC0DBB" w:rsidP="0099419E">
      <w:pPr>
        <w:numPr>
          <w:ilvl w:val="5"/>
          <w:numId w:val="25"/>
        </w:numPr>
        <w:tabs>
          <w:tab w:val="clear" w:pos="4320"/>
          <w:tab w:val="num" w:pos="1134"/>
        </w:tabs>
        <w:spacing w:before="0" w:after="0" w:line="240" w:lineRule="auto"/>
        <w:ind w:hanging="3469"/>
        <w:rPr>
          <w:lang w:eastAsia="ko-KR"/>
        </w:rPr>
      </w:pPr>
      <w:r w:rsidRPr="00BC0DBB">
        <w:rPr>
          <w:i/>
          <w:iCs/>
          <w:lang w:eastAsia="ko-KR"/>
        </w:rPr>
        <w:t>Support PUR at least for GEO-based (Geostationary Satellite Orbit) IoT NTN in Rel-17</w:t>
      </w:r>
    </w:p>
    <w:p w14:paraId="481AC1D4" w14:textId="77777777" w:rsidR="00BC0DBB" w:rsidRPr="00BC0DBB" w:rsidRDefault="00BC0DBB" w:rsidP="0099419E">
      <w:pPr>
        <w:numPr>
          <w:ilvl w:val="5"/>
          <w:numId w:val="25"/>
        </w:numPr>
        <w:tabs>
          <w:tab w:val="clear" w:pos="4320"/>
          <w:tab w:val="num" w:pos="1134"/>
        </w:tabs>
        <w:spacing w:before="0" w:after="0" w:line="240" w:lineRule="auto"/>
        <w:ind w:hanging="3469"/>
        <w:rPr>
          <w:lang w:eastAsia="ko-KR"/>
        </w:rPr>
      </w:pPr>
      <w:r w:rsidRPr="00BC0DBB">
        <w:rPr>
          <w:i/>
          <w:iCs/>
          <w:lang w:eastAsia="ko-KR"/>
        </w:rPr>
        <w:t>FFS: for NGSO-based (Non-Geostationary Satellite Orbit) IoT NTN.</w:t>
      </w:r>
    </w:p>
    <w:p w14:paraId="03488F6F" w14:textId="2EBD4788" w:rsidR="00011470" w:rsidRDefault="005039A1" w:rsidP="004A6A8B">
      <w:pPr>
        <w:rPr>
          <w:lang w:eastAsia="ko-KR"/>
        </w:rPr>
      </w:pPr>
      <w:r>
        <w:rPr>
          <w:lang w:eastAsia="ko-KR"/>
        </w:rPr>
        <w:t xml:space="preserve">The coverage of </w:t>
      </w:r>
      <w:r w:rsidR="006E634F">
        <w:rPr>
          <w:lang w:eastAsia="ko-KR"/>
        </w:rPr>
        <w:t>NGSO-based IoT NTN</w:t>
      </w:r>
      <w:r w:rsidRPr="005039A1">
        <w:rPr>
          <w:lang w:eastAsia="ko-KR"/>
        </w:rPr>
        <w:t xml:space="preserve"> may move due to their orbital movement</w:t>
      </w:r>
      <w:r>
        <w:rPr>
          <w:lang w:eastAsia="ko-KR"/>
        </w:rPr>
        <w:t xml:space="preserve">, which makes it more </w:t>
      </w:r>
      <w:r w:rsidR="00377E99">
        <w:rPr>
          <w:lang w:eastAsia="ko-KR"/>
        </w:rPr>
        <w:t>challenging</w:t>
      </w:r>
      <w:r>
        <w:rPr>
          <w:lang w:eastAsia="ko-KR"/>
        </w:rPr>
        <w:t xml:space="preserve"> to support PUR in this scenario. There are several companies proposed to support </w:t>
      </w:r>
      <w:r w:rsidRPr="005039A1">
        <w:rPr>
          <w:lang w:eastAsia="ko-KR"/>
        </w:rPr>
        <w:t>PUR for NGSO-based IoT NTN</w:t>
      </w:r>
      <w:r w:rsidR="00DF6BF8">
        <w:rPr>
          <w:lang w:eastAsia="ko-KR"/>
        </w:rPr>
        <w:t xml:space="preserve"> in </w:t>
      </w:r>
      <w:r w:rsidR="00377E99">
        <w:rPr>
          <w:lang w:eastAsia="ko-KR"/>
        </w:rPr>
        <w:t xml:space="preserve">the </w:t>
      </w:r>
      <w:r w:rsidR="00DF6BF8">
        <w:rPr>
          <w:lang w:eastAsia="ko-KR"/>
        </w:rPr>
        <w:t>Rel-17 IoT NTN discussion</w:t>
      </w:r>
      <w:r>
        <w:rPr>
          <w:lang w:eastAsia="ko-KR"/>
        </w:rPr>
        <w:t xml:space="preserve">. The main concern raised in the discussion </w:t>
      </w:r>
      <w:r w:rsidR="00011470">
        <w:rPr>
          <w:lang w:eastAsia="ko-KR"/>
        </w:rPr>
        <w:t>was</w:t>
      </w:r>
      <w:r>
        <w:rPr>
          <w:lang w:eastAsia="ko-KR"/>
        </w:rPr>
        <w:t xml:space="preserve"> the</w:t>
      </w:r>
      <w:r w:rsidR="00DF6BF8">
        <w:rPr>
          <w:lang w:eastAsia="ko-KR"/>
        </w:rPr>
        <w:t>re might be</w:t>
      </w:r>
      <w:r w:rsidR="00011470">
        <w:rPr>
          <w:lang w:eastAsia="ko-KR"/>
        </w:rPr>
        <w:t xml:space="preserve"> potential</w:t>
      </w:r>
      <w:r>
        <w:rPr>
          <w:lang w:eastAsia="ko-KR"/>
        </w:rPr>
        <w:t xml:space="preserve"> </w:t>
      </w:r>
      <w:r w:rsidR="00011470">
        <w:rPr>
          <w:lang w:eastAsia="ko-KR"/>
        </w:rPr>
        <w:t xml:space="preserve">additional assessment on </w:t>
      </w:r>
      <w:r>
        <w:rPr>
          <w:lang w:eastAsia="ko-KR"/>
        </w:rPr>
        <w:t xml:space="preserve">timing </w:t>
      </w:r>
      <w:r w:rsidR="00011470">
        <w:rPr>
          <w:lang w:eastAsia="ko-KR"/>
        </w:rPr>
        <w:t>alignment validation criteria</w:t>
      </w:r>
      <w:r w:rsidR="00DF6BF8">
        <w:rPr>
          <w:lang w:eastAsia="ko-KR"/>
        </w:rPr>
        <w:t xml:space="preserve"> for NGSO-based IoT NTN</w:t>
      </w:r>
      <w:r w:rsidR="00011470">
        <w:rPr>
          <w:lang w:eastAsia="ko-KR"/>
        </w:rPr>
        <w:t xml:space="preserve">. </w:t>
      </w:r>
      <w:proofErr w:type="gramStart"/>
      <w:r w:rsidR="00895414">
        <w:rPr>
          <w:lang w:eastAsia="ko-KR"/>
        </w:rPr>
        <w:t>In regard to</w:t>
      </w:r>
      <w:proofErr w:type="gramEnd"/>
      <w:r w:rsidR="00895414">
        <w:rPr>
          <w:lang w:eastAsia="ko-KR"/>
        </w:rPr>
        <w:t xml:space="preserve"> the limited time budget in Rel</w:t>
      </w:r>
      <w:r w:rsidR="00DF6BF8">
        <w:rPr>
          <w:lang w:eastAsia="ko-KR"/>
        </w:rPr>
        <w:t>-</w:t>
      </w:r>
      <w:r w:rsidR="00895414">
        <w:rPr>
          <w:lang w:eastAsia="ko-KR"/>
        </w:rPr>
        <w:t xml:space="preserve">17, </w:t>
      </w:r>
      <w:r w:rsidR="00377E99">
        <w:rPr>
          <w:lang w:eastAsia="ko-KR"/>
        </w:rPr>
        <w:t xml:space="preserve">the </w:t>
      </w:r>
      <w:r w:rsidR="00895414">
        <w:rPr>
          <w:lang w:eastAsia="ko-KR"/>
        </w:rPr>
        <w:t xml:space="preserve">solution </w:t>
      </w:r>
      <w:r w:rsidR="00377E99">
        <w:rPr>
          <w:lang w:eastAsia="ko-KR"/>
        </w:rPr>
        <w:t>to</w:t>
      </w:r>
      <w:r w:rsidR="00895414">
        <w:rPr>
          <w:lang w:eastAsia="ko-KR"/>
        </w:rPr>
        <w:t xml:space="preserve"> this issue was not pursued. However, c</w:t>
      </w:r>
      <w:r w:rsidR="00011470">
        <w:rPr>
          <w:lang w:eastAsia="ko-KR"/>
        </w:rPr>
        <w:t xml:space="preserve">onsidering the critical power saving </w:t>
      </w:r>
      <w:r w:rsidR="00895414">
        <w:rPr>
          <w:lang w:eastAsia="ko-KR"/>
        </w:rPr>
        <w:t xml:space="preserve">requirements </w:t>
      </w:r>
      <w:r w:rsidR="00011470">
        <w:rPr>
          <w:lang w:eastAsia="ko-KR"/>
        </w:rPr>
        <w:t xml:space="preserve">and less frequent data transmission of IoT devices, it would be beneficial to support </w:t>
      </w:r>
      <w:r w:rsidR="00011470" w:rsidRPr="005039A1">
        <w:rPr>
          <w:lang w:eastAsia="ko-KR"/>
        </w:rPr>
        <w:t>PUR for NGSO-based IoT NTN</w:t>
      </w:r>
      <w:r w:rsidR="00011470">
        <w:rPr>
          <w:lang w:eastAsia="ko-KR"/>
        </w:rPr>
        <w:t xml:space="preserve">. </w:t>
      </w:r>
      <w:r w:rsidR="00377E99">
        <w:rPr>
          <w:lang w:eastAsia="ko-KR"/>
        </w:rPr>
        <w:t>From</w:t>
      </w:r>
      <w:r w:rsidR="00011470">
        <w:rPr>
          <w:lang w:eastAsia="ko-KR"/>
        </w:rPr>
        <w:t xml:space="preserve"> our perspective, RAN1 </w:t>
      </w:r>
      <w:r w:rsidR="00DF6BF8">
        <w:rPr>
          <w:lang w:eastAsia="ko-KR"/>
        </w:rPr>
        <w:t>can</w:t>
      </w:r>
      <w:r w:rsidR="00011470">
        <w:rPr>
          <w:lang w:eastAsia="ko-KR"/>
        </w:rPr>
        <w:t xml:space="preserve"> reopen the discussion on this issue </w:t>
      </w:r>
      <w:r w:rsidR="00AD7D30">
        <w:rPr>
          <w:lang w:eastAsia="ko-KR"/>
        </w:rPr>
        <w:t>in</w:t>
      </w:r>
      <w:r w:rsidR="00011470">
        <w:rPr>
          <w:lang w:eastAsia="ko-KR"/>
        </w:rPr>
        <w:t xml:space="preserve"> R</w:t>
      </w:r>
      <w:r w:rsidR="00AD7D30">
        <w:rPr>
          <w:lang w:eastAsia="ko-KR"/>
        </w:rPr>
        <w:t>el-</w:t>
      </w:r>
      <w:r w:rsidR="00011470">
        <w:rPr>
          <w:lang w:eastAsia="ko-KR"/>
        </w:rPr>
        <w:t xml:space="preserve">18. </w:t>
      </w:r>
    </w:p>
    <w:p w14:paraId="72C86911" w14:textId="7A6A3C54" w:rsidR="00AD7072" w:rsidRDefault="00AD7072" w:rsidP="004A6A8B">
      <w:pPr>
        <w:rPr>
          <w:lang w:eastAsia="ko-KR"/>
        </w:rPr>
      </w:pPr>
      <w:r>
        <w:rPr>
          <w:lang w:eastAsia="ko-KR"/>
        </w:rPr>
        <w:t xml:space="preserve">As mentioned in Section </w:t>
      </w:r>
      <w:r w:rsidRPr="00AD7072">
        <w:rPr>
          <w:lang w:eastAsia="ko-KR"/>
        </w:rPr>
        <w:t>7.3d.3</w:t>
      </w:r>
      <w:r w:rsidR="00E74DA6" w:rsidRPr="00E74DA6">
        <w:rPr>
          <w:lang w:eastAsia="ko-KR"/>
        </w:rPr>
        <w:t xml:space="preserve"> </w:t>
      </w:r>
      <w:r w:rsidR="00E74DA6">
        <w:rPr>
          <w:lang w:eastAsia="ko-KR"/>
        </w:rPr>
        <w:t>TS 36.300</w:t>
      </w:r>
      <w:r>
        <w:rPr>
          <w:lang w:eastAsia="ko-KR"/>
        </w:rPr>
        <w:t>, before the UE actually performs the UL transmission using the configured PUR,</w:t>
      </w:r>
      <w:r w:rsidR="00377E99">
        <w:rPr>
          <w:lang w:eastAsia="ko-KR"/>
        </w:rPr>
        <w:t xml:space="preserve"> the UE shall </w:t>
      </w:r>
      <w:r w:rsidRPr="00377E99">
        <w:rPr>
          <w:lang w:eastAsia="ko-KR"/>
        </w:rPr>
        <w:t>determine that the PUR resource can be used (</w:t>
      </w:r>
      <w:proofErr w:type="gramStart"/>
      <w:r w:rsidRPr="00377E99">
        <w:rPr>
          <w:lang w:eastAsia="ko-KR"/>
        </w:rPr>
        <w:t>e.g.</w:t>
      </w:r>
      <w:proofErr w:type="gramEnd"/>
      <w:r w:rsidRPr="00377E99">
        <w:rPr>
          <w:lang w:eastAsia="ko-KR"/>
        </w:rPr>
        <w:t xml:space="preserve"> PUR enabled in the cell, valid Time Alignment, etc.)</w:t>
      </w:r>
      <w:r>
        <w:rPr>
          <w:lang w:eastAsia="ko-KR"/>
        </w:rPr>
        <w:t xml:space="preserve">. </w:t>
      </w:r>
    </w:p>
    <w:p w14:paraId="55375142" w14:textId="1597D4E7" w:rsidR="00011470" w:rsidRDefault="00E74DA6" w:rsidP="004A6A8B">
      <w:pPr>
        <w:rPr>
          <w:lang w:eastAsia="ko-KR"/>
        </w:rPr>
      </w:pPr>
      <w:r>
        <w:rPr>
          <w:lang w:eastAsia="ko-KR"/>
        </w:rPr>
        <w:t xml:space="preserve">The </w:t>
      </w:r>
      <w:r w:rsidRPr="00E74DA6">
        <w:rPr>
          <w:lang w:eastAsia="ko-KR"/>
        </w:rPr>
        <w:t>Time Alignment</w:t>
      </w:r>
      <w:r w:rsidR="00C60D3E">
        <w:rPr>
          <w:lang w:eastAsia="ko-KR"/>
        </w:rPr>
        <w:t xml:space="preserve"> </w:t>
      </w:r>
      <w:r w:rsidRPr="00E74DA6">
        <w:rPr>
          <w:lang w:eastAsia="ko-KR"/>
        </w:rPr>
        <w:t>valid</w:t>
      </w:r>
      <w:r>
        <w:rPr>
          <w:lang w:eastAsia="ko-KR"/>
        </w:rPr>
        <w:t xml:space="preserve">ation criteria </w:t>
      </w:r>
      <w:r w:rsidR="00377E99">
        <w:rPr>
          <w:lang w:eastAsia="ko-KR"/>
        </w:rPr>
        <w:t>are</w:t>
      </w:r>
      <w:r>
        <w:rPr>
          <w:lang w:eastAsia="ko-KR"/>
        </w:rPr>
        <w:t xml:space="preserve"> detailed in</w:t>
      </w:r>
      <w:r w:rsidRPr="00E74DA6">
        <w:rPr>
          <w:lang w:eastAsia="ko-KR"/>
        </w:rPr>
        <w:t xml:space="preserve"> Section 5.3.3.19 </w:t>
      </w:r>
      <w:r w:rsidR="00C60D3E">
        <w:rPr>
          <w:lang w:eastAsia="ko-KR"/>
        </w:rPr>
        <w:t>TS</w:t>
      </w:r>
      <w:r>
        <w:rPr>
          <w:lang w:eastAsia="ko-KR"/>
        </w:rPr>
        <w:t> </w:t>
      </w:r>
      <w:r w:rsidR="00C60D3E">
        <w:rPr>
          <w:lang w:eastAsia="ko-KR"/>
        </w:rPr>
        <w:t>36.331</w:t>
      </w:r>
      <w:r>
        <w:rPr>
          <w:lang w:eastAsia="ko-KR"/>
        </w:rPr>
        <w:t xml:space="preserve">: </w:t>
      </w:r>
    </w:p>
    <w:p w14:paraId="1EF06B13" w14:textId="77777777" w:rsidR="00E74DA6" w:rsidRPr="00E74DA6" w:rsidRDefault="00E74DA6" w:rsidP="00377E99">
      <w:pPr>
        <w:spacing w:before="0" w:after="0" w:line="240" w:lineRule="auto"/>
        <w:ind w:left="568"/>
        <w:rPr>
          <w:sz w:val="20"/>
          <w:szCs w:val="20"/>
        </w:rPr>
      </w:pPr>
      <w:r w:rsidRPr="00E74DA6">
        <w:rPr>
          <w:sz w:val="20"/>
          <w:szCs w:val="20"/>
        </w:rPr>
        <w:t>The UE shall consider the timing alignment value for transmission using PUR to be valid when the following conditions are fulfilled:</w:t>
      </w:r>
    </w:p>
    <w:p w14:paraId="08486922" w14:textId="77777777" w:rsidR="00E74DA6" w:rsidRPr="00E74DA6" w:rsidRDefault="00E74DA6" w:rsidP="00377E99">
      <w:pPr>
        <w:pStyle w:val="B1"/>
        <w:spacing w:before="0" w:after="0"/>
        <w:ind w:left="1136"/>
        <w:rPr>
          <w:sz w:val="20"/>
          <w:szCs w:val="20"/>
        </w:rPr>
      </w:pPr>
      <w:r w:rsidRPr="00E74DA6">
        <w:rPr>
          <w:sz w:val="20"/>
          <w:szCs w:val="20"/>
        </w:rPr>
        <w:t>1&gt;</w:t>
      </w:r>
      <w:r w:rsidRPr="00E74DA6">
        <w:rPr>
          <w:sz w:val="20"/>
          <w:szCs w:val="20"/>
        </w:rPr>
        <w:tab/>
        <w:t xml:space="preserve">either </w:t>
      </w:r>
      <w:r w:rsidRPr="00E74DA6">
        <w:rPr>
          <w:i/>
          <w:sz w:val="20"/>
          <w:szCs w:val="20"/>
        </w:rPr>
        <w:t>pur-TimeAlignmentTimer</w:t>
      </w:r>
      <w:r w:rsidRPr="00E74DA6">
        <w:rPr>
          <w:sz w:val="20"/>
          <w:szCs w:val="20"/>
        </w:rPr>
        <w:t xml:space="preserve"> is not configured or </w:t>
      </w:r>
      <w:r w:rsidRPr="00E74DA6">
        <w:rPr>
          <w:i/>
          <w:sz w:val="20"/>
          <w:szCs w:val="20"/>
        </w:rPr>
        <w:t>pur-TimeAlignmentTimer</w:t>
      </w:r>
      <w:r w:rsidRPr="00E74DA6">
        <w:rPr>
          <w:sz w:val="20"/>
          <w:szCs w:val="20"/>
        </w:rPr>
        <w:t xml:space="preserve"> is running as confirmed by lower layers; and</w:t>
      </w:r>
    </w:p>
    <w:p w14:paraId="5CF5FDCA" w14:textId="77777777" w:rsidR="00E74DA6" w:rsidRPr="00E74DA6" w:rsidRDefault="00E74DA6" w:rsidP="00377E99">
      <w:pPr>
        <w:pStyle w:val="B1"/>
        <w:spacing w:before="0" w:after="0"/>
        <w:ind w:left="1136"/>
        <w:rPr>
          <w:sz w:val="20"/>
          <w:szCs w:val="20"/>
        </w:rPr>
      </w:pPr>
      <w:r w:rsidRPr="00E74DA6">
        <w:rPr>
          <w:sz w:val="20"/>
          <w:szCs w:val="20"/>
        </w:rPr>
        <w:t>1&gt;</w:t>
      </w:r>
      <w:r w:rsidRPr="00E74DA6">
        <w:rPr>
          <w:sz w:val="20"/>
          <w:szCs w:val="20"/>
        </w:rPr>
        <w:tab/>
        <w:t xml:space="preserve">either </w:t>
      </w:r>
      <w:r w:rsidRPr="00E74DA6">
        <w:rPr>
          <w:i/>
          <w:sz w:val="20"/>
          <w:szCs w:val="20"/>
        </w:rPr>
        <w:t>pur-RSRP-ChangeThreshold</w:t>
      </w:r>
      <w:r w:rsidRPr="00E74DA6">
        <w:rPr>
          <w:sz w:val="20"/>
          <w:szCs w:val="20"/>
        </w:rPr>
        <w:t xml:space="preserve"> (</w:t>
      </w:r>
      <w:r w:rsidRPr="00E74DA6">
        <w:rPr>
          <w:i/>
          <w:sz w:val="20"/>
          <w:szCs w:val="20"/>
        </w:rPr>
        <w:t>pur-NRSRP-ChangeThreshold</w:t>
      </w:r>
      <w:r w:rsidRPr="00E74DA6">
        <w:rPr>
          <w:sz w:val="20"/>
          <w:szCs w:val="20"/>
        </w:rPr>
        <w:t xml:space="preserve"> in NB-IoT) is not </w:t>
      </w:r>
      <w:proofErr w:type="gramStart"/>
      <w:r w:rsidRPr="00E74DA6">
        <w:rPr>
          <w:sz w:val="20"/>
          <w:szCs w:val="20"/>
        </w:rPr>
        <w:t>configured</w:t>
      </w:r>
      <w:proofErr w:type="gramEnd"/>
      <w:r w:rsidRPr="00E74DA6">
        <w:rPr>
          <w:sz w:val="20"/>
          <w:szCs w:val="20"/>
        </w:rPr>
        <w:t xml:space="preserve"> or the following conditions are fulfilled:</w:t>
      </w:r>
    </w:p>
    <w:p w14:paraId="64161050" w14:textId="77777777" w:rsidR="00E74DA6" w:rsidRPr="00E74DA6" w:rsidRDefault="00E74DA6" w:rsidP="00377E99">
      <w:pPr>
        <w:pStyle w:val="B2"/>
        <w:spacing w:before="0" w:after="0"/>
        <w:ind w:left="1419"/>
        <w:rPr>
          <w:bCs/>
          <w:noProof/>
          <w:sz w:val="20"/>
          <w:szCs w:val="20"/>
          <w:lang w:eastAsia="en-GB"/>
        </w:rPr>
      </w:pPr>
      <w:r w:rsidRPr="00E74DA6">
        <w:rPr>
          <w:sz w:val="20"/>
          <w:szCs w:val="20"/>
        </w:rPr>
        <w:lastRenderedPageBreak/>
        <w:t>2&gt;</w:t>
      </w:r>
      <w:r w:rsidRPr="00E74DA6">
        <w:rPr>
          <w:sz w:val="20"/>
          <w:szCs w:val="20"/>
        </w:rPr>
        <w:tab/>
        <w:t xml:space="preserve">compared to the stored serving cell reference (N)RSRP value, the </w:t>
      </w:r>
      <w:r w:rsidRPr="00E74DA6">
        <w:rPr>
          <w:bCs/>
          <w:noProof/>
          <w:sz w:val="20"/>
          <w:szCs w:val="20"/>
          <w:lang w:eastAsia="en-GB"/>
        </w:rPr>
        <w:t xml:space="preserve">serving cell (N)RSRP has not increased by more than </w:t>
      </w:r>
      <w:r w:rsidRPr="00E74DA6">
        <w:rPr>
          <w:bCs/>
          <w:i/>
          <w:noProof/>
          <w:sz w:val="20"/>
          <w:szCs w:val="20"/>
          <w:lang w:eastAsia="en-GB"/>
        </w:rPr>
        <w:t>increaseThresh</w:t>
      </w:r>
      <w:r w:rsidRPr="00E74DA6">
        <w:rPr>
          <w:bCs/>
          <w:noProof/>
          <w:sz w:val="20"/>
          <w:szCs w:val="20"/>
          <w:lang w:eastAsia="en-GB"/>
        </w:rPr>
        <w:t>; and</w:t>
      </w:r>
    </w:p>
    <w:p w14:paraId="3D7CB66A" w14:textId="77777777" w:rsidR="00E74DA6" w:rsidRPr="00E74DA6" w:rsidRDefault="00E74DA6" w:rsidP="00377E99">
      <w:pPr>
        <w:pStyle w:val="B2"/>
        <w:spacing w:before="0" w:after="0"/>
        <w:ind w:left="1419"/>
        <w:rPr>
          <w:sz w:val="20"/>
          <w:szCs w:val="20"/>
          <w:lang w:eastAsia="ja-JP"/>
        </w:rPr>
      </w:pPr>
      <w:r w:rsidRPr="00E74DA6">
        <w:rPr>
          <w:sz w:val="20"/>
          <w:szCs w:val="20"/>
        </w:rPr>
        <w:t>2&gt;</w:t>
      </w:r>
      <w:r w:rsidRPr="00E74DA6">
        <w:rPr>
          <w:sz w:val="20"/>
          <w:szCs w:val="20"/>
        </w:rPr>
        <w:tab/>
        <w:t xml:space="preserve">compared to the stored serving cell reference (N)RSRP value, the </w:t>
      </w:r>
      <w:r w:rsidRPr="00E74DA6">
        <w:rPr>
          <w:bCs/>
          <w:noProof/>
          <w:sz w:val="20"/>
          <w:szCs w:val="20"/>
          <w:lang w:eastAsia="en-GB"/>
        </w:rPr>
        <w:t xml:space="preserve">serving cell (N)RSRP has not decreased by more than </w:t>
      </w:r>
      <w:proofErr w:type="gramStart"/>
      <w:r w:rsidRPr="00E74DA6">
        <w:rPr>
          <w:bCs/>
          <w:i/>
          <w:noProof/>
          <w:sz w:val="20"/>
          <w:szCs w:val="20"/>
          <w:lang w:eastAsia="en-GB"/>
        </w:rPr>
        <w:t>decreaseThresh</w:t>
      </w:r>
      <w:r w:rsidRPr="00E74DA6">
        <w:rPr>
          <w:sz w:val="20"/>
          <w:szCs w:val="20"/>
        </w:rPr>
        <w:t>;</w:t>
      </w:r>
      <w:proofErr w:type="gramEnd"/>
    </w:p>
    <w:p w14:paraId="208B5305" w14:textId="2841C6A4" w:rsidR="00E74DA6" w:rsidRDefault="00E74DA6" w:rsidP="0099419E">
      <w:r>
        <w:rPr>
          <w:lang w:eastAsia="ko-KR"/>
        </w:rPr>
        <w:t xml:space="preserve">Based on the previous RAN1 discussion on IoT features, </w:t>
      </w:r>
      <w:r w:rsidR="00564BE2">
        <w:rPr>
          <w:lang w:eastAsia="ko-KR"/>
        </w:rPr>
        <w:t>the main purpose of introducing</w:t>
      </w:r>
      <w:r w:rsidR="00450FBB">
        <w:rPr>
          <w:lang w:eastAsia="ko-KR"/>
        </w:rPr>
        <w:t xml:space="preserve"> the </w:t>
      </w:r>
      <w:r w:rsidRPr="00E74DA6">
        <w:rPr>
          <w:i/>
        </w:rPr>
        <w:t>pur-RSRP-ChangeThreshold</w:t>
      </w:r>
      <w:r>
        <w:rPr>
          <w:i/>
        </w:rPr>
        <w:t xml:space="preserve"> </w:t>
      </w:r>
      <w:r w:rsidR="00564BE2" w:rsidRPr="00564BE2">
        <w:t>IE</w:t>
      </w:r>
      <w:r w:rsidR="00564BE2">
        <w:rPr>
          <w:i/>
        </w:rPr>
        <w:t xml:space="preserve"> </w:t>
      </w:r>
      <w:r w:rsidRPr="00E74DA6">
        <w:t xml:space="preserve">was </w:t>
      </w:r>
      <w:r>
        <w:t xml:space="preserve">to limit the variation of UE’s position. If the movement of the UE results in </w:t>
      </w:r>
      <w:r w:rsidR="00450FBB">
        <w:t xml:space="preserve">excessive RSPR variation, </w:t>
      </w:r>
      <w:r w:rsidR="00564BE2">
        <w:t xml:space="preserve">the </w:t>
      </w:r>
      <w:r w:rsidR="00450FBB">
        <w:t xml:space="preserve">configured </w:t>
      </w:r>
      <w:r w:rsidR="00564BE2">
        <w:t xml:space="preserve">PUR </w:t>
      </w:r>
      <w:r w:rsidR="00450FBB">
        <w:t>might</w:t>
      </w:r>
      <w:r w:rsidR="00564BE2">
        <w:t xml:space="preserve"> be invalid. </w:t>
      </w:r>
      <w:r w:rsidR="00450FBB">
        <w:t xml:space="preserve">The NW may also configure different rules for the validation of the UE’s timing advance. However, for the IoT devices that support at least R17 and R18 IoT NTN features, </w:t>
      </w:r>
      <w:r w:rsidR="0001272D">
        <w:t xml:space="preserve">the GNSS function is equipped within the UEs. And the UE is also capable to determine the </w:t>
      </w:r>
      <w:r w:rsidR="00175941">
        <w:t>timing advance</w:t>
      </w:r>
      <w:r w:rsidR="0001272D">
        <w:t>.</w:t>
      </w:r>
      <w:r w:rsidR="00175941">
        <w:t xml:space="preserve"> I</w:t>
      </w:r>
      <w:r w:rsidR="0001272D">
        <w:t>n the current spec, both</w:t>
      </w:r>
      <w:r w:rsidR="00175941">
        <w:t xml:space="preserve"> the </w:t>
      </w:r>
      <w:r w:rsidR="0001272D" w:rsidRPr="00E74DA6">
        <w:rPr>
          <w:i/>
        </w:rPr>
        <w:t>pur-TimeAlignmentTimer</w:t>
      </w:r>
      <w:r w:rsidR="0001272D">
        <w:rPr>
          <w:i/>
        </w:rPr>
        <w:t xml:space="preserve"> </w:t>
      </w:r>
      <w:r w:rsidR="0001272D" w:rsidRPr="0001272D">
        <w:t>and</w:t>
      </w:r>
      <w:r w:rsidR="0001272D">
        <w:rPr>
          <w:i/>
        </w:rPr>
        <w:t xml:space="preserve"> </w:t>
      </w:r>
      <w:r w:rsidR="0001272D" w:rsidRPr="00E74DA6">
        <w:rPr>
          <w:i/>
        </w:rPr>
        <w:t>pur-RSRP-ChangeThreshold</w:t>
      </w:r>
      <w:r w:rsidR="0001272D">
        <w:rPr>
          <w:i/>
        </w:rPr>
        <w:t xml:space="preserve"> </w:t>
      </w:r>
      <w:r w:rsidR="0001272D" w:rsidRPr="00564BE2">
        <w:t>IE</w:t>
      </w:r>
      <w:r w:rsidR="0001272D">
        <w:t xml:space="preserve"> can be optionally configured. Therefore, the above legacy </w:t>
      </w:r>
      <w:r w:rsidR="0001272D" w:rsidRPr="0001272D">
        <w:t>Time Alignment validation criteria</w:t>
      </w:r>
      <w:r w:rsidR="0001272D">
        <w:t xml:space="preserve"> </w:t>
      </w:r>
      <w:r w:rsidR="00175941">
        <w:t>are</w:t>
      </w:r>
      <w:r w:rsidR="0001272D">
        <w:t xml:space="preserve"> still applicable to </w:t>
      </w:r>
      <w:r w:rsidR="0001272D" w:rsidRPr="0001272D">
        <w:t>NGSO-based IoT NTN</w:t>
      </w:r>
      <w:r w:rsidR="0001272D">
        <w:t xml:space="preserve"> scenarios. </w:t>
      </w:r>
      <w:r w:rsidR="00B813B5">
        <w:t>There is n</w:t>
      </w:r>
      <w:r w:rsidR="0099419E">
        <w:t xml:space="preserve">o spec impact. </w:t>
      </w:r>
    </w:p>
    <w:p w14:paraId="30514E9B" w14:textId="523EC4E2" w:rsidR="001E62C4" w:rsidRDefault="008A4C5F" w:rsidP="0001272D">
      <w:r>
        <w:t xml:space="preserve">However, the cell </w:t>
      </w:r>
      <w:r w:rsidRPr="008A4C5F">
        <w:t xml:space="preserve">coverage of NGSO-based </w:t>
      </w:r>
      <w:r>
        <w:t xml:space="preserve">scenarios </w:t>
      </w:r>
      <w:r w:rsidRPr="008A4C5F">
        <w:t xml:space="preserve">may move due to </w:t>
      </w:r>
      <w:r>
        <w:t xml:space="preserve">the </w:t>
      </w:r>
      <w:r w:rsidRPr="008A4C5F">
        <w:t>orbital movement</w:t>
      </w:r>
      <w:r w:rsidR="00237BDC">
        <w:t xml:space="preserve">, </w:t>
      </w:r>
      <w:r w:rsidR="00A85E26">
        <w:t xml:space="preserve">an example of </w:t>
      </w:r>
      <w:r w:rsidR="00237BDC">
        <w:t xml:space="preserve">a single LEO 600 </w:t>
      </w:r>
      <w:r w:rsidR="00A85E26">
        <w:t xml:space="preserve">flyovers </w:t>
      </w:r>
      <w:r w:rsidR="00237BDC">
        <w:t>was given</w:t>
      </w:r>
      <w:r w:rsidR="00C22738">
        <w:t xml:space="preserve"> in </w:t>
      </w:r>
      <w:r w:rsidR="00C22738" w:rsidRPr="00C22738">
        <w:t>R2-2107453</w:t>
      </w:r>
      <w:r w:rsidR="00C22738">
        <w:t xml:space="preserve"> [</w:t>
      </w:r>
      <w:r w:rsidR="00237BDC">
        <w:t>3</w:t>
      </w:r>
      <w:r w:rsidR="00C22738">
        <w:t>]</w:t>
      </w:r>
      <w:r w:rsidR="00237BDC">
        <w:t xml:space="preserve"> as shown in </w:t>
      </w:r>
      <w:r w:rsidR="00A85E26">
        <w:fldChar w:fldCharType="begin"/>
      </w:r>
      <w:r w:rsidR="00A85E26">
        <w:instrText xml:space="preserve"> REF _Ref100831433 \h </w:instrText>
      </w:r>
      <w:r w:rsidR="00A85E26">
        <w:fldChar w:fldCharType="separate"/>
      </w:r>
      <w:r w:rsidR="00567C4C">
        <w:t xml:space="preserve">Figure </w:t>
      </w:r>
      <w:r w:rsidR="00567C4C">
        <w:rPr>
          <w:noProof/>
        </w:rPr>
        <w:t>1</w:t>
      </w:r>
      <w:r w:rsidR="00A85E26">
        <w:fldChar w:fldCharType="end"/>
      </w:r>
      <w:r w:rsidR="00A85E26">
        <w:t xml:space="preserve">. </w:t>
      </w:r>
      <w:r>
        <w:t xml:space="preserve">The UE may change serving cells </w:t>
      </w:r>
      <w:r w:rsidR="00A85E26">
        <w:t xml:space="preserve">much </w:t>
      </w:r>
      <w:r>
        <w:t xml:space="preserve">more frequently than TN. The legacy PUR is configured on a per-cell basis for the corresponding UE. If the serving cell is changed, the PUR might be invalid. </w:t>
      </w:r>
      <w:r w:rsidR="00A85E26">
        <w:t xml:space="preserve">Generally, </w:t>
      </w:r>
      <w:r>
        <w:t>IoT devices have less frequent data transmission</w:t>
      </w:r>
      <w:r w:rsidR="00A2241C">
        <w:t xml:space="preserve">. </w:t>
      </w:r>
      <w:proofErr w:type="gramStart"/>
      <w:r w:rsidR="00A2241C">
        <w:t>Considering the limited flyover time in NGSO-based scenarios, there</w:t>
      </w:r>
      <w:proofErr w:type="gramEnd"/>
      <w:r w:rsidR="00A2241C">
        <w:t xml:space="preserve"> is the possibility that the IoT devices have no chance to use the PUR before changing </w:t>
      </w:r>
      <w:r w:rsidR="00175941">
        <w:t xml:space="preserve">the </w:t>
      </w:r>
      <w:r w:rsidR="00A2241C">
        <w:t>servi</w:t>
      </w:r>
      <w:r w:rsidR="00175941">
        <w:t>ng</w:t>
      </w:r>
      <w:r w:rsidR="00A2241C">
        <w:t xml:space="preserve"> cell that configures the PUR. </w:t>
      </w:r>
      <w:r w:rsidR="00037EAC">
        <w:t xml:space="preserve">In this case, the configured PUR will be wasted. </w:t>
      </w:r>
      <w:r w:rsidR="00A2241C">
        <w:t>The n</w:t>
      </w:r>
      <w:r w:rsidR="00A2241C" w:rsidRPr="00A2241C">
        <w:t>on-continuous coverage</w:t>
      </w:r>
      <w:r w:rsidR="00A2241C">
        <w:t xml:space="preserve"> cases for IoT NTN cases might be another issue worthy to consider in this scenario. </w:t>
      </w:r>
    </w:p>
    <w:p w14:paraId="703A3AB3" w14:textId="4F013240" w:rsidR="00037EAC" w:rsidRDefault="00175941" w:rsidP="0001272D">
      <w:r>
        <w:t xml:space="preserve">Therefore, as the </w:t>
      </w:r>
      <w:r w:rsidR="001C32D2">
        <w:t>coverage</w:t>
      </w:r>
      <w:r>
        <w:t xml:space="preserve"> time</w:t>
      </w:r>
      <w:r w:rsidR="001C32D2">
        <w:t xml:space="preserve"> provided by </w:t>
      </w:r>
      <w:r>
        <w:t xml:space="preserve">NGSO-based NTN </w:t>
      </w:r>
      <w:r w:rsidR="001C32D2">
        <w:t xml:space="preserve">is limited from the perspective of a UE, </w:t>
      </w:r>
      <w:proofErr w:type="gramStart"/>
      <w:r w:rsidR="0054325F">
        <w:t>i.e.</w:t>
      </w:r>
      <w:proofErr w:type="gramEnd"/>
      <w:r w:rsidR="0054325F">
        <w:t xml:space="preserve"> less than 4.5 mins in LEO 600 scenario</w:t>
      </w:r>
      <w:r w:rsidR="001E62C4">
        <w:t xml:space="preserve">, supporting PUR will </w:t>
      </w:r>
      <w:r w:rsidR="00F26293">
        <w:t xml:space="preserve">be beneficial for the </w:t>
      </w:r>
      <w:r w:rsidR="00700007">
        <w:t xml:space="preserve">IoT </w:t>
      </w:r>
      <w:r w:rsidR="001E62C4">
        <w:t>devices</w:t>
      </w:r>
      <w:r w:rsidR="00F26293">
        <w:t xml:space="preserve">. </w:t>
      </w:r>
      <w:r w:rsidR="001C32D2">
        <w:t>However, p</w:t>
      </w:r>
      <w:r w:rsidR="00A2241C">
        <w:t>otential enhancements</w:t>
      </w:r>
      <w:r w:rsidR="009171D5">
        <w:t xml:space="preserve">, </w:t>
      </w:r>
      <w:proofErr w:type="gramStart"/>
      <w:r w:rsidR="009171D5">
        <w:t>i.e.</w:t>
      </w:r>
      <w:proofErr w:type="gramEnd"/>
      <w:r w:rsidR="009171D5">
        <w:t xml:space="preserve"> enabling the PUR in multiple cells,</w:t>
      </w:r>
      <w:r w:rsidR="00A2241C">
        <w:t xml:space="preserve"> </w:t>
      </w:r>
      <w:r w:rsidR="00F26293">
        <w:t xml:space="preserve">might be needed as the UE may change serving cell frequently. </w:t>
      </w:r>
    </w:p>
    <w:p w14:paraId="0A1875AB" w14:textId="77777777" w:rsidR="00237BDC" w:rsidRDefault="008A4C5F" w:rsidP="00237BDC">
      <w:pPr>
        <w:keepNext/>
        <w:jc w:val="center"/>
      </w:pPr>
      <w:r w:rsidRPr="008A4C5F">
        <w:rPr>
          <w:noProof/>
        </w:rPr>
        <w:drawing>
          <wp:inline distT="0" distB="0" distL="0" distR="0" wp14:anchorId="14432D2A" wp14:editId="702853C2">
            <wp:extent cx="3313554" cy="1772935"/>
            <wp:effectExtent l="0" t="0" r="1270" b="0"/>
            <wp:docPr id="58" name="Picture 57" descr="Chart, scatter chart&#10;&#10;Description automatically generated">
              <a:extLst xmlns:a="http://schemas.openxmlformats.org/drawingml/2006/main">
                <a:ext uri="{FF2B5EF4-FFF2-40B4-BE49-F238E27FC236}">
                  <a16:creationId xmlns:a16="http://schemas.microsoft.com/office/drawing/2014/main" id="{774F5895-41AF-48E6-84C0-0DC6AB2811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7" descr="Chart, scatter chart&#10;&#10;Description automatically generated">
                      <a:extLst>
                        <a:ext uri="{FF2B5EF4-FFF2-40B4-BE49-F238E27FC236}">
                          <a16:creationId xmlns:a16="http://schemas.microsoft.com/office/drawing/2014/main" id="{774F5895-41AF-48E6-84C0-0DC6AB28113A}"/>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3554" cy="1772935"/>
                    </a:xfrm>
                    <a:prstGeom prst="rect">
                      <a:avLst/>
                    </a:prstGeom>
                    <a:noFill/>
                  </pic:spPr>
                </pic:pic>
              </a:graphicData>
            </a:graphic>
          </wp:inline>
        </w:drawing>
      </w:r>
    </w:p>
    <w:p w14:paraId="77A0CF52" w14:textId="7E29F724" w:rsidR="008A4C5F" w:rsidRDefault="00237BDC" w:rsidP="00237BDC">
      <w:pPr>
        <w:pStyle w:val="Caption"/>
        <w:jc w:val="center"/>
      </w:pPr>
      <w:bookmarkStart w:id="0" w:name="_Ref100831433"/>
      <w:r>
        <w:t xml:space="preserve">Figure </w:t>
      </w:r>
      <w:r w:rsidR="00B97F23">
        <w:fldChar w:fldCharType="begin"/>
      </w:r>
      <w:r w:rsidR="00B97F23">
        <w:instrText xml:space="preserve"> SEQ Figure \* ARABIC </w:instrText>
      </w:r>
      <w:r w:rsidR="00B97F23">
        <w:fldChar w:fldCharType="separate"/>
      </w:r>
      <w:r w:rsidR="00567C4C">
        <w:rPr>
          <w:noProof/>
        </w:rPr>
        <w:t>1</w:t>
      </w:r>
      <w:r w:rsidR="00B97F23">
        <w:rPr>
          <w:noProof/>
        </w:rPr>
        <w:fldChar w:fldCharType="end"/>
      </w:r>
      <w:bookmarkEnd w:id="0"/>
      <w:r>
        <w:t xml:space="preserve"> </w:t>
      </w:r>
      <w:r w:rsidRPr="00237BDC">
        <w:t>flyovers of a single LEO 600 was given in R2-2107453</w:t>
      </w:r>
      <w:r>
        <w:t>[3]</w:t>
      </w:r>
    </w:p>
    <w:p w14:paraId="0DA8049A" w14:textId="410B608C" w:rsidR="00F51819" w:rsidRPr="0043056A" w:rsidRDefault="00F51819" w:rsidP="00F51819">
      <w:pPr>
        <w:pStyle w:val="ListParagraph"/>
        <w:numPr>
          <w:ilvl w:val="0"/>
          <w:numId w:val="5"/>
        </w:numPr>
        <w:rPr>
          <w:i/>
          <w:iCs/>
          <w:lang w:eastAsia="ko-KR"/>
        </w:rPr>
      </w:pPr>
      <w:bookmarkStart w:id="1" w:name="_Ref86257114"/>
      <w:r w:rsidRPr="0043056A">
        <w:rPr>
          <w:i/>
          <w:iCs/>
          <w:lang w:eastAsia="ko-KR"/>
        </w:rPr>
        <w:t>Support PUR for NGSO</w:t>
      </w:r>
      <w:r w:rsidR="00037EAC" w:rsidRPr="0043056A">
        <w:rPr>
          <w:i/>
          <w:iCs/>
          <w:lang w:eastAsia="ko-KR"/>
        </w:rPr>
        <w:t xml:space="preserve">-based </w:t>
      </w:r>
      <w:r w:rsidRPr="0043056A">
        <w:rPr>
          <w:i/>
          <w:iCs/>
          <w:lang w:eastAsia="ko-KR"/>
        </w:rPr>
        <w:t>IoT NTN</w:t>
      </w:r>
      <w:r w:rsidR="00037EAC" w:rsidRPr="0043056A">
        <w:rPr>
          <w:i/>
          <w:iCs/>
          <w:lang w:eastAsia="ko-KR"/>
        </w:rPr>
        <w:t xml:space="preserve">. </w:t>
      </w:r>
      <w:r w:rsidRPr="0043056A">
        <w:rPr>
          <w:i/>
          <w:iCs/>
          <w:lang w:eastAsia="ko-KR"/>
        </w:rPr>
        <w:t xml:space="preserve"> </w:t>
      </w:r>
    </w:p>
    <w:p w14:paraId="6C83BEE3" w14:textId="38D6BFEF" w:rsidR="00F26293" w:rsidRPr="0043056A" w:rsidRDefault="00F26293" w:rsidP="0076564B">
      <w:pPr>
        <w:pStyle w:val="ListParagraph"/>
        <w:numPr>
          <w:ilvl w:val="0"/>
          <w:numId w:val="5"/>
        </w:numPr>
        <w:rPr>
          <w:i/>
          <w:iCs/>
          <w:lang w:eastAsia="ko-KR"/>
        </w:rPr>
      </w:pPr>
      <w:bookmarkStart w:id="2" w:name="_Ref100838675"/>
      <w:r w:rsidRPr="0043056A">
        <w:rPr>
          <w:i/>
          <w:iCs/>
          <w:lang w:eastAsia="ko-KR"/>
        </w:rPr>
        <w:t>Potential enhancements might be needed to support PUR for NGSO-based IoT NTN, as the UE may change serving cell frequently.</w:t>
      </w:r>
      <w:bookmarkEnd w:id="2"/>
      <w:r w:rsidRPr="0043056A">
        <w:rPr>
          <w:i/>
          <w:iCs/>
          <w:lang w:eastAsia="ko-KR"/>
        </w:rPr>
        <w:t xml:space="preserve"> </w:t>
      </w:r>
    </w:p>
    <w:p w14:paraId="604E7868" w14:textId="77777777" w:rsidR="0043056A" w:rsidRPr="0043056A" w:rsidRDefault="0043056A" w:rsidP="0043056A">
      <w:pPr>
        <w:pStyle w:val="Heading2"/>
        <w:rPr>
          <w:rFonts w:eastAsia="SimSun" w:cs="Times New Roman"/>
          <w:b/>
          <w:bCs/>
          <w:szCs w:val="28"/>
          <w:lang w:val="en-US"/>
        </w:rPr>
      </w:pPr>
      <w:bookmarkStart w:id="3" w:name="_Hlk77851147"/>
      <w:bookmarkEnd w:id="1"/>
      <w:r w:rsidRPr="0043056A">
        <w:rPr>
          <w:rFonts w:eastAsia="SimSun" w:cs="Times New Roman"/>
          <w:b/>
          <w:bCs/>
          <w:szCs w:val="28"/>
          <w:lang w:val="en-US"/>
        </w:rPr>
        <w:t xml:space="preserve">BWP </w:t>
      </w:r>
      <w:r w:rsidRPr="00A92F00">
        <w:rPr>
          <w:b/>
          <w:bCs/>
        </w:rPr>
        <w:t>switching</w:t>
      </w:r>
    </w:p>
    <w:bookmarkEnd w:id="3"/>
    <w:p w14:paraId="3D6E16D5" w14:textId="77777777" w:rsidR="0043056A" w:rsidRPr="0043056A" w:rsidRDefault="0043056A" w:rsidP="0043056A">
      <w:pPr>
        <w:autoSpaceDE w:val="0"/>
        <w:autoSpaceDN w:val="0"/>
        <w:adjustRightInd w:val="0"/>
        <w:snapToGrid w:val="0"/>
        <w:spacing w:before="0" w:line="240" w:lineRule="auto"/>
        <w:rPr>
          <w:rFonts w:eastAsia="SimSun" w:cs="Times New Roman"/>
          <w:lang w:val="en-US"/>
        </w:rPr>
      </w:pPr>
      <w:r w:rsidRPr="0043056A">
        <w:rPr>
          <w:rFonts w:eastAsia="SimSun" w:cs="Times New Roman"/>
          <w:lang w:val="en-US"/>
        </w:rPr>
        <w:t>In LEO scenario with earth-moving beams, the BWP switching is caused by the satellite movement itself, and the contribution of UE’s movement to the determination of the relative position between UE and the satellite can often be negligible. Once the UE’s initial position is communicated to the network, the BWP switching pattern can be predetermined. The BWPs in which the UE will operate can therefore be predicted based on time and location since the satellite movement is known.</w:t>
      </w:r>
    </w:p>
    <w:p w14:paraId="436EB62E" w14:textId="77777777" w:rsidR="0043056A" w:rsidRPr="0043056A" w:rsidRDefault="0043056A" w:rsidP="0043056A">
      <w:pPr>
        <w:autoSpaceDE w:val="0"/>
        <w:autoSpaceDN w:val="0"/>
        <w:adjustRightInd w:val="0"/>
        <w:snapToGrid w:val="0"/>
        <w:spacing w:before="0" w:line="240" w:lineRule="auto"/>
        <w:rPr>
          <w:rFonts w:eastAsia="SimSun" w:cs="Times New Roman"/>
          <w:lang w:val="en-US" w:eastAsia="en-US"/>
        </w:rPr>
      </w:pPr>
      <w:r w:rsidRPr="0043056A">
        <w:rPr>
          <w:rFonts w:eastAsia="SimSun" w:cs="Times New Roman"/>
          <w:lang w:val="en-US"/>
        </w:rPr>
        <w:lastRenderedPageBreak/>
        <w:t>Beam switching does not always trigger BWP switching. Several satellite beams can be mapped to a BWP of a UE.  The satellite beams may be useful to extend the cell coverage without NR beamforming. The beam management operation such as beam indication, beam measurements and reporting may not be applicable. BWP switching can be done via the DCI, MAC-</w:t>
      </w:r>
      <w:proofErr w:type="gramStart"/>
      <w:r w:rsidRPr="0043056A">
        <w:rPr>
          <w:rFonts w:eastAsia="SimSun" w:cs="Times New Roman"/>
          <w:lang w:val="en-US"/>
        </w:rPr>
        <w:t>CE</w:t>
      </w:r>
      <w:proofErr w:type="gramEnd"/>
      <w:r w:rsidRPr="0043056A">
        <w:rPr>
          <w:rFonts w:eastAsia="SimSun" w:cs="Times New Roman"/>
          <w:lang w:val="en-US"/>
        </w:rPr>
        <w:t xml:space="preserve"> or inactivity timer (</w:t>
      </w:r>
      <w:r w:rsidRPr="0043056A">
        <w:rPr>
          <w:rFonts w:eastAsia="SimSun" w:cs="Times New Roman"/>
          <w:i/>
          <w:iCs/>
          <w:lang w:val="en-US"/>
        </w:rPr>
        <w:t>bwp-InactivityTimer</w:t>
      </w:r>
      <w:r w:rsidRPr="0043056A">
        <w:rPr>
          <w:rFonts w:eastAsia="SimSun" w:cs="Times New Roman"/>
          <w:lang w:val="en-US"/>
        </w:rPr>
        <w:t xml:space="preserve">). </w:t>
      </w:r>
    </w:p>
    <w:p w14:paraId="094FE386" w14:textId="77777777" w:rsidR="0043056A" w:rsidRPr="0043056A" w:rsidRDefault="0043056A" w:rsidP="0043056A">
      <w:pPr>
        <w:autoSpaceDE w:val="0"/>
        <w:autoSpaceDN w:val="0"/>
        <w:adjustRightInd w:val="0"/>
        <w:snapToGrid w:val="0"/>
        <w:spacing w:before="0" w:line="240" w:lineRule="auto"/>
        <w:rPr>
          <w:rFonts w:eastAsia="SimSun" w:cs="Times New Roman"/>
          <w:lang w:val="en-US"/>
        </w:rPr>
      </w:pPr>
      <w:r w:rsidRPr="0043056A">
        <w:rPr>
          <w:rFonts w:eastAsia="SimSun" w:cs="Times New Roman"/>
          <w:lang w:val="en-US"/>
        </w:rPr>
        <w:t>It may be no longer feasible for the UE to fall back to the original BWP upon timer expiry</w:t>
      </w:r>
      <w:r w:rsidRPr="0043056A">
        <w:rPr>
          <w:rFonts w:eastAsia="SimSun" w:cs="Times New Roman"/>
          <w:lang w:val="en-US" w:eastAsia="en-US"/>
        </w:rPr>
        <w:t xml:space="preserve"> i</w:t>
      </w:r>
      <w:r w:rsidRPr="0043056A">
        <w:rPr>
          <w:rFonts w:eastAsia="SimSun" w:cs="Times New Roman"/>
          <w:lang w:val="en-US"/>
        </w:rPr>
        <w:t xml:space="preserve">n this scenario. Furthermore, the satellite cell has a large coverage footprint of tens or hundreds of km, the common initial BWP can become congested or blocked if the number of users is large. With consideration on the larger cell coverage and longer roundtrip time (RTT), mechanisms of configured BWP switching from a sequence of BWPs can be beneficial instead of switching back to the same initial BWP following a period of inactivity. If a UE keeps switching back to the initial BWP, prolonged delay or even beam failure may occur. Since the source and target BWP are from the same satellite, they can also share the same configuration towards the UE </w:t>
      </w:r>
      <w:proofErr w:type="gramStart"/>
      <w:r w:rsidRPr="0043056A">
        <w:rPr>
          <w:rFonts w:eastAsia="SimSun" w:cs="Times New Roman"/>
          <w:lang w:val="en-US"/>
        </w:rPr>
        <w:t>with regard to</w:t>
      </w:r>
      <w:proofErr w:type="gramEnd"/>
      <w:r w:rsidRPr="0043056A">
        <w:rPr>
          <w:rFonts w:eastAsia="SimSun" w:cs="Times New Roman"/>
          <w:lang w:val="en-US"/>
        </w:rPr>
        <w:t xml:space="preserve"> </w:t>
      </w:r>
      <w:r w:rsidRPr="0043056A">
        <w:rPr>
          <w:rFonts w:eastAsia="SimSun" w:cs="Times New Roman"/>
          <w:i/>
          <w:iCs/>
          <w:lang w:val="en-US"/>
        </w:rPr>
        <w:t xml:space="preserve">pdcch-Config, pdsch-Config, sps-Config, radioLinkMonitorConfig </w:t>
      </w:r>
      <w:r w:rsidRPr="0043056A">
        <w:rPr>
          <w:rFonts w:eastAsia="SimSun" w:cs="Times New Roman"/>
          <w:lang w:val="en-US"/>
        </w:rPr>
        <w:t>etc. Only the frequency location as identified by BWP ID may be changed and most of the configurations can remain the same.</w:t>
      </w:r>
    </w:p>
    <w:p w14:paraId="58D832DE" w14:textId="77777777" w:rsidR="0043056A" w:rsidRPr="0043056A" w:rsidRDefault="0043056A" w:rsidP="0043056A">
      <w:pPr>
        <w:autoSpaceDE w:val="0"/>
        <w:autoSpaceDN w:val="0"/>
        <w:adjustRightInd w:val="0"/>
        <w:snapToGrid w:val="0"/>
        <w:spacing w:before="0" w:line="240" w:lineRule="auto"/>
        <w:rPr>
          <w:rFonts w:eastAsia="SimSun" w:cs="Times New Roman"/>
          <w:lang w:val="en-US"/>
        </w:rPr>
      </w:pPr>
      <w:r w:rsidRPr="0043056A">
        <w:rPr>
          <w:rFonts w:eastAsia="SimSun" w:cs="Times New Roman"/>
          <w:lang w:val="en-US"/>
        </w:rPr>
        <w:t xml:space="preserve">The function of the </w:t>
      </w:r>
      <w:r w:rsidRPr="0043056A">
        <w:rPr>
          <w:rFonts w:eastAsia="SimSun" w:cs="Times New Roman"/>
          <w:i/>
          <w:iCs/>
          <w:lang w:val="en-US"/>
        </w:rPr>
        <w:t>bwp_InactivityTimer</w:t>
      </w:r>
      <w:r w:rsidRPr="0043056A">
        <w:rPr>
          <w:rFonts w:eastAsia="SimSun" w:cs="Times New Roman"/>
          <w:lang w:val="en-US"/>
        </w:rPr>
        <w:t xml:space="preserve"> in the legacy system requires the UE to switch from the active BWP to default BWP. It was proposed that gNB may disable this function in NTN system by either providing a large value of timer duration or not providing the timer, in either case, the functionality of the inactivity timer is lost. The proposed solution not only keeps the functionality of the inactivity timer, but also improves the NTN system performance.</w:t>
      </w:r>
    </w:p>
    <w:p w14:paraId="79244869" w14:textId="77777777" w:rsidR="0043056A" w:rsidRPr="0043056A" w:rsidRDefault="0043056A" w:rsidP="0043056A">
      <w:pPr>
        <w:autoSpaceDE w:val="0"/>
        <w:autoSpaceDN w:val="0"/>
        <w:adjustRightInd w:val="0"/>
        <w:snapToGrid w:val="0"/>
        <w:spacing w:before="0" w:line="240" w:lineRule="auto"/>
        <w:rPr>
          <w:rFonts w:eastAsia="SimSun" w:cs="Times New Roman"/>
          <w:lang w:val="en-US"/>
        </w:rPr>
      </w:pPr>
      <w:r w:rsidRPr="0043056A">
        <w:rPr>
          <w:rFonts w:eastAsia="SimSun" w:cs="Times New Roman"/>
          <w:lang w:val="en-US"/>
        </w:rPr>
        <w:t>In addition, gNB may instruct the UE to perform L1 RSRP measurement to assist the BWP switching. These aperiodic measurements may be configured for UEs which are due to switch their BWPs based on the time and location.</w:t>
      </w:r>
    </w:p>
    <w:p w14:paraId="7FFAD535" w14:textId="77777777" w:rsidR="0043056A" w:rsidRPr="0043056A" w:rsidRDefault="0043056A" w:rsidP="0043056A">
      <w:pPr>
        <w:autoSpaceDE w:val="0"/>
        <w:autoSpaceDN w:val="0"/>
        <w:adjustRightInd w:val="0"/>
        <w:snapToGrid w:val="0"/>
        <w:spacing w:before="0" w:line="240" w:lineRule="auto"/>
        <w:rPr>
          <w:rFonts w:eastAsia="SimSun" w:cs="Times New Roman"/>
          <w:i/>
          <w:iCs/>
          <w:lang w:val="en-US"/>
        </w:rPr>
      </w:pPr>
      <w:r w:rsidRPr="0043056A">
        <w:rPr>
          <w:rFonts w:eastAsia="SimSun" w:cs="Times New Roman"/>
          <w:lang w:val="en-US"/>
        </w:rPr>
        <w:t xml:space="preserve">If all L1 measurement reports are to be sent to the gNB, these may be out of date due to the longer propagation delay in NTN. Therefore, the measurement reports may be filtered at </w:t>
      </w:r>
      <w:proofErr w:type="gramStart"/>
      <w:r w:rsidRPr="0043056A">
        <w:rPr>
          <w:rFonts w:eastAsia="SimSun" w:cs="Times New Roman"/>
          <w:lang w:val="en-US"/>
        </w:rPr>
        <w:t>L1</w:t>
      </w:r>
      <w:proofErr w:type="gramEnd"/>
      <w:r w:rsidRPr="0043056A">
        <w:rPr>
          <w:rFonts w:eastAsia="SimSun" w:cs="Times New Roman"/>
          <w:lang w:val="en-US"/>
        </w:rPr>
        <w:t xml:space="preserve"> and a measurement report will only be sent to the gNB if it meets certain configured threshold criteria</w:t>
      </w:r>
      <w:r w:rsidRPr="0043056A">
        <w:rPr>
          <w:rFonts w:eastAsia="SimSun" w:cs="Times New Roman"/>
          <w:lang w:val="en-US" w:eastAsia="en-US"/>
        </w:rPr>
        <w:t xml:space="preserve"> for </w:t>
      </w:r>
      <w:r w:rsidRPr="0043056A">
        <w:rPr>
          <w:rFonts w:eastAsia="SimSun" w:cs="Times New Roman"/>
          <w:lang w:val="en-US"/>
        </w:rPr>
        <w:t xml:space="preserve">BWP switching. </w:t>
      </w:r>
    </w:p>
    <w:p w14:paraId="54D25634" w14:textId="77777777" w:rsidR="0043056A" w:rsidRPr="0043056A" w:rsidRDefault="0043056A" w:rsidP="0043056A">
      <w:pPr>
        <w:autoSpaceDE w:val="0"/>
        <w:autoSpaceDN w:val="0"/>
        <w:adjustRightInd w:val="0"/>
        <w:snapToGrid w:val="0"/>
        <w:spacing w:before="0" w:line="240" w:lineRule="auto"/>
        <w:rPr>
          <w:rFonts w:eastAsia="SimSun" w:cs="Times New Roman"/>
          <w:lang w:val="en-US"/>
        </w:rPr>
      </w:pPr>
      <w:r w:rsidRPr="0043056A">
        <w:rPr>
          <w:rFonts w:eastAsia="SimSun" w:cs="Times New Roman"/>
          <w:lang w:val="en-US"/>
        </w:rPr>
        <w:t>The L1 measurement report will inform the gNB of the potential default BWP switching initiated by the UE upon timer expiry. The filtered L1 measurement report sent to the gNB may act as a notification for configured BWP switching.</w:t>
      </w:r>
    </w:p>
    <w:p w14:paraId="2441DDC9" w14:textId="75E38747" w:rsidR="0043056A" w:rsidRPr="0043056A" w:rsidRDefault="0043056A" w:rsidP="0043056A">
      <w:pPr>
        <w:pStyle w:val="ListParagraph"/>
        <w:numPr>
          <w:ilvl w:val="0"/>
          <w:numId w:val="5"/>
        </w:numPr>
        <w:rPr>
          <w:i/>
          <w:iCs/>
          <w:lang w:eastAsia="ko-KR"/>
        </w:rPr>
      </w:pPr>
      <w:r w:rsidRPr="0043056A">
        <w:rPr>
          <w:i/>
          <w:iCs/>
          <w:lang w:eastAsia="ko-KR"/>
        </w:rPr>
        <w:t>Support timer-based BWP switching to a new default BWP.</w:t>
      </w:r>
    </w:p>
    <w:p w14:paraId="0DE63A25" w14:textId="34C9AD46" w:rsidR="0043056A" w:rsidRPr="0043056A" w:rsidRDefault="0043056A" w:rsidP="0043056A">
      <w:pPr>
        <w:pStyle w:val="ListParagraph"/>
        <w:numPr>
          <w:ilvl w:val="0"/>
          <w:numId w:val="5"/>
        </w:numPr>
        <w:rPr>
          <w:i/>
          <w:iCs/>
          <w:lang w:eastAsia="ko-KR"/>
        </w:rPr>
      </w:pPr>
      <w:r w:rsidRPr="0043056A">
        <w:rPr>
          <w:i/>
          <w:iCs/>
          <w:lang w:eastAsia="ko-KR"/>
        </w:rPr>
        <w:t>Support the L1 filtered measurement report as a notification to gNB for BWP switching.</w:t>
      </w:r>
    </w:p>
    <w:p w14:paraId="545153EA" w14:textId="77777777" w:rsidR="0043056A" w:rsidRPr="0043056A" w:rsidRDefault="0043056A" w:rsidP="0043056A">
      <w:pPr>
        <w:autoSpaceDE w:val="0"/>
        <w:autoSpaceDN w:val="0"/>
        <w:adjustRightInd w:val="0"/>
        <w:snapToGrid w:val="0"/>
        <w:spacing w:before="0" w:line="240" w:lineRule="auto"/>
        <w:rPr>
          <w:rFonts w:eastAsia="SimSun" w:cs="Times New Roman"/>
          <w:i/>
          <w:iCs/>
          <w:lang w:val="en-US"/>
        </w:rPr>
      </w:pPr>
    </w:p>
    <w:p w14:paraId="2D3FE1DA" w14:textId="77777777" w:rsidR="007705BC" w:rsidRPr="0043056A" w:rsidRDefault="007705BC" w:rsidP="007705BC">
      <w:pPr>
        <w:pStyle w:val="Heading2"/>
        <w:rPr>
          <w:rFonts w:eastAsia="SimSun" w:cs="Times New Roman"/>
          <w:b/>
          <w:bCs/>
          <w:szCs w:val="28"/>
          <w:lang w:val="en-US"/>
        </w:rPr>
      </w:pPr>
      <w:r w:rsidRPr="0043056A">
        <w:rPr>
          <w:rFonts w:eastAsia="SimSun" w:cs="Times New Roman"/>
          <w:b/>
          <w:bCs/>
          <w:szCs w:val="28"/>
          <w:lang w:val="en-US"/>
        </w:rPr>
        <w:t>Beam switching</w:t>
      </w:r>
    </w:p>
    <w:p w14:paraId="06C839CC" w14:textId="77777777" w:rsidR="007705BC" w:rsidRPr="0043056A" w:rsidRDefault="007705BC" w:rsidP="007705BC">
      <w:pPr>
        <w:autoSpaceDE w:val="0"/>
        <w:autoSpaceDN w:val="0"/>
        <w:adjustRightInd w:val="0"/>
        <w:snapToGrid w:val="0"/>
        <w:spacing w:before="0" w:line="240" w:lineRule="auto"/>
        <w:rPr>
          <w:rFonts w:eastAsia="MS Mincho" w:cs="Times New Roman"/>
          <w:lang w:val="en-US" w:eastAsia="en-US"/>
        </w:rPr>
      </w:pPr>
      <w:r w:rsidRPr="0043056A">
        <w:rPr>
          <w:rFonts w:eastAsia="MS Mincho" w:cs="Times New Roman"/>
          <w:lang w:val="en-US" w:eastAsia="en-US"/>
        </w:rPr>
        <w:t xml:space="preserve">Several options have been proposed for beam management in NTN making use of predictability of beam switching based on the knowledge of satellite movement and UE position. Examples of such techniques include timer-based switching and geometry-based switching which do not rely on measurements. Instead, they rely on assistance information from gNB to perform either gNB or UE triggered beam switching. However, some companies have raised concerns that determination of beam management should also consider the channel condition, especially with consideration on the LoS/NLoS condition and it cannot be purely location based predictable event. Therefore, mechanisms such as location aware CSI-RS transmission and measurement have been proposed which can reduce signaling overhead by adjusting periodicity of CSI-RS transmission and corresponding reporting according to the location of the UEs. Such methods can control measurement effort at the UE side by adjusting measurement period according to its location. Another measurement-based method which can reduce measurement reporting overhead is switching triggered by UE with configuration on certain threshold, e.g., elevation angle, or RSRP threshold. For example, as shown in Figure 1, if UE0 traverses a path as shown in the figure due to satellite and/or UE movement, when it reaches edge of beam 2, if UE is only provided a measurement threshold without a prioritized list or restricted list of candidate beams, it may switch to beam 2 based upon CSI-RS measurement and then switch to beam 7 due to the movement of satellite and/or UE, which will cause unnecessary beam switching. However, such </w:t>
      </w:r>
      <w:r w:rsidRPr="0043056A">
        <w:rPr>
          <w:rFonts w:eastAsia="MS Mincho" w:cs="Times New Roman"/>
          <w:lang w:val="en-US" w:eastAsia="en-US"/>
        </w:rPr>
        <w:lastRenderedPageBreak/>
        <w:t xml:space="preserve">undesirable results can be avoided with the help of assistance information by letting the UE know its candidate beam </w:t>
      </w:r>
      <w:proofErr w:type="gramStart"/>
      <w:r w:rsidRPr="0043056A">
        <w:rPr>
          <w:rFonts w:eastAsia="MS Mincho" w:cs="Times New Roman"/>
          <w:lang w:val="en-US" w:eastAsia="en-US"/>
        </w:rPr>
        <w:t>e.g.</w:t>
      </w:r>
      <w:proofErr w:type="gramEnd"/>
      <w:r w:rsidRPr="0043056A">
        <w:rPr>
          <w:rFonts w:eastAsia="MS Mincho" w:cs="Times New Roman"/>
          <w:lang w:val="en-US" w:eastAsia="en-US"/>
        </w:rPr>
        <w:t xml:space="preserve"> by indicating the candidate beams for switching to the UE in which case it will not switch to beam 2 since it is not in its candidate list. </w:t>
      </w:r>
    </w:p>
    <w:p w14:paraId="4A5DF32B" w14:textId="77777777" w:rsidR="007705BC" w:rsidRPr="0043056A" w:rsidRDefault="007705BC" w:rsidP="007705BC">
      <w:pPr>
        <w:keepNext/>
        <w:autoSpaceDE w:val="0"/>
        <w:autoSpaceDN w:val="0"/>
        <w:adjustRightInd w:val="0"/>
        <w:snapToGrid w:val="0"/>
        <w:spacing w:before="0" w:line="240" w:lineRule="auto"/>
        <w:jc w:val="center"/>
        <w:rPr>
          <w:rFonts w:eastAsia="SimSun" w:cs="Times New Roman"/>
          <w:lang w:val="en-US" w:eastAsia="en-US"/>
        </w:rPr>
      </w:pPr>
      <w:r w:rsidRPr="0043056A">
        <w:rPr>
          <w:rFonts w:eastAsia="MS Mincho" w:cs="Times New Roman"/>
          <w:noProof/>
          <w:lang w:val="en-US" w:eastAsia="en-US"/>
        </w:rPr>
        <w:drawing>
          <wp:inline distT="0" distB="0" distL="0" distR="0" wp14:anchorId="67682AA2" wp14:editId="223886A9">
            <wp:extent cx="2708275" cy="1397479"/>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471" cy="1415640"/>
                    </a:xfrm>
                    <a:prstGeom prst="rect">
                      <a:avLst/>
                    </a:prstGeom>
                    <a:noFill/>
                  </pic:spPr>
                </pic:pic>
              </a:graphicData>
            </a:graphic>
          </wp:inline>
        </w:drawing>
      </w:r>
    </w:p>
    <w:p w14:paraId="11468AF8" w14:textId="77777777" w:rsidR="007705BC" w:rsidRPr="0043056A" w:rsidRDefault="007705BC" w:rsidP="007705BC">
      <w:pPr>
        <w:autoSpaceDE w:val="0"/>
        <w:autoSpaceDN w:val="0"/>
        <w:adjustRightInd w:val="0"/>
        <w:snapToGrid w:val="0"/>
        <w:spacing w:before="0" w:after="200" w:line="240" w:lineRule="auto"/>
        <w:jc w:val="center"/>
        <w:rPr>
          <w:rFonts w:eastAsia="MS Mincho" w:cs="Times New Roman"/>
          <w:i/>
          <w:iCs/>
          <w:color w:val="44546A"/>
          <w:sz w:val="18"/>
          <w:szCs w:val="18"/>
          <w:lang w:val="en-US" w:eastAsia="en-US"/>
        </w:rPr>
      </w:pPr>
      <w:r w:rsidRPr="0043056A">
        <w:rPr>
          <w:rFonts w:eastAsia="SimSun" w:cs="Times New Roman"/>
          <w:i/>
          <w:iCs/>
          <w:color w:val="44546A"/>
          <w:sz w:val="18"/>
          <w:szCs w:val="18"/>
          <w:lang w:val="en-US" w:eastAsia="en-US"/>
        </w:rPr>
        <w:t xml:space="preserve">Figure </w:t>
      </w:r>
      <w:r w:rsidRPr="0043056A">
        <w:rPr>
          <w:rFonts w:eastAsia="SimSun" w:cs="Times New Roman"/>
          <w:i/>
          <w:iCs/>
          <w:color w:val="44546A"/>
          <w:sz w:val="18"/>
          <w:szCs w:val="18"/>
          <w:lang w:val="en-US" w:eastAsia="en-US"/>
        </w:rPr>
        <w:fldChar w:fldCharType="begin"/>
      </w:r>
      <w:r w:rsidRPr="0043056A">
        <w:rPr>
          <w:rFonts w:eastAsia="SimSun" w:cs="Times New Roman"/>
          <w:i/>
          <w:iCs/>
          <w:color w:val="44546A"/>
          <w:sz w:val="18"/>
          <w:szCs w:val="18"/>
          <w:lang w:val="en-US" w:eastAsia="en-US"/>
        </w:rPr>
        <w:instrText xml:space="preserve"> SEQ Figure \* ARABIC </w:instrText>
      </w:r>
      <w:r w:rsidRPr="0043056A">
        <w:rPr>
          <w:rFonts w:eastAsia="SimSun" w:cs="Times New Roman"/>
          <w:i/>
          <w:iCs/>
          <w:color w:val="44546A"/>
          <w:sz w:val="18"/>
          <w:szCs w:val="18"/>
          <w:lang w:val="en-US" w:eastAsia="en-US"/>
        </w:rPr>
        <w:fldChar w:fldCharType="separate"/>
      </w:r>
      <w:r w:rsidRPr="0043056A">
        <w:rPr>
          <w:rFonts w:eastAsia="SimSun" w:cs="Times New Roman"/>
          <w:i/>
          <w:iCs/>
          <w:noProof/>
          <w:color w:val="44546A"/>
          <w:sz w:val="18"/>
          <w:szCs w:val="18"/>
          <w:lang w:val="en-US" w:eastAsia="en-US"/>
        </w:rPr>
        <w:t>1</w:t>
      </w:r>
      <w:r w:rsidRPr="0043056A">
        <w:rPr>
          <w:rFonts w:eastAsia="SimSun" w:cs="Times New Roman"/>
          <w:i/>
          <w:iCs/>
          <w:color w:val="44546A"/>
          <w:sz w:val="18"/>
          <w:szCs w:val="18"/>
          <w:lang w:val="en-US" w:eastAsia="en-US"/>
        </w:rPr>
        <w:fldChar w:fldCharType="end"/>
      </w:r>
      <w:r w:rsidRPr="0043056A">
        <w:rPr>
          <w:rFonts w:eastAsia="SimSun" w:cs="Times New Roman"/>
          <w:i/>
          <w:iCs/>
          <w:color w:val="44546A"/>
          <w:sz w:val="18"/>
          <w:szCs w:val="18"/>
          <w:lang w:val="en-US" w:eastAsia="en-US"/>
        </w:rPr>
        <w:t xml:space="preserve"> Path traversed by UE due to satellite and/or UE movement</w:t>
      </w:r>
    </w:p>
    <w:p w14:paraId="5A4E1778" w14:textId="77777777" w:rsidR="007705BC" w:rsidRPr="0043056A" w:rsidRDefault="007705BC" w:rsidP="007705BC">
      <w:pPr>
        <w:autoSpaceDE w:val="0"/>
        <w:autoSpaceDN w:val="0"/>
        <w:adjustRightInd w:val="0"/>
        <w:snapToGrid w:val="0"/>
        <w:spacing w:before="0" w:line="240" w:lineRule="auto"/>
        <w:rPr>
          <w:rFonts w:eastAsia="MS Mincho" w:cs="Times New Roman"/>
          <w:lang w:val="en-US" w:eastAsia="en-US"/>
        </w:rPr>
      </w:pPr>
      <w:r w:rsidRPr="0043056A">
        <w:rPr>
          <w:rFonts w:eastAsia="MS Mincho" w:cs="Times New Roman"/>
          <w:lang w:val="en-US" w:eastAsia="en-US"/>
        </w:rPr>
        <w:t xml:space="preserve">Since CSI-RS resources can be beam specific, it is possible to assign mutually exclusive CSI-RS resources surrounding any </w:t>
      </w:r>
      <w:proofErr w:type="gramStart"/>
      <w:r w:rsidRPr="0043056A">
        <w:rPr>
          <w:rFonts w:eastAsia="MS Mincho" w:cs="Times New Roman"/>
          <w:lang w:val="en-US" w:eastAsia="en-US"/>
        </w:rPr>
        <w:t>particular beam</w:t>
      </w:r>
      <w:proofErr w:type="gramEnd"/>
      <w:r w:rsidRPr="0043056A">
        <w:rPr>
          <w:rFonts w:eastAsia="MS Mincho" w:cs="Times New Roman"/>
          <w:lang w:val="en-US" w:eastAsia="en-US"/>
        </w:rPr>
        <w:t xml:space="preserve"> of the satellite. For example, CSI-RS resources assigned to the seven beams in Figure 1 are not shared among the beams in this cluster. Note that these are not actual beam numbers in satellite footprint. For any UE, beam 1 is the serving beam and beam 2 to beam 7 are logical indices of surrounding beams in corresponding directions. Depending on beams’ footprints, each beam may be surrounded by more or less than 6 other beams. CSI-RS resource sets are defined so that based on the resource set a UE is signaled to measure, it can determine if it needs to perform measurements for beam switching and know target candidate beams. For example, referring to beam layout in Figure 1, resource sets can be defined as follows:</w:t>
      </w:r>
    </w:p>
    <w:p w14:paraId="00E74C76" w14:textId="77777777" w:rsidR="007705BC" w:rsidRPr="0043056A" w:rsidRDefault="007705BC" w:rsidP="007705BC">
      <w:pPr>
        <w:autoSpaceDE w:val="0"/>
        <w:autoSpaceDN w:val="0"/>
        <w:adjustRightInd w:val="0"/>
        <w:snapToGrid w:val="0"/>
        <w:spacing w:before="0" w:line="240" w:lineRule="auto"/>
        <w:ind w:left="720"/>
        <w:rPr>
          <w:rFonts w:eastAsia="MS Mincho" w:cs="Times New Roman"/>
          <w:lang w:val="en-US" w:eastAsia="en-US"/>
        </w:rPr>
      </w:pPr>
      <w:r w:rsidRPr="0043056A">
        <w:rPr>
          <w:rFonts w:eastAsia="MS Mincho" w:cs="Times New Roman"/>
          <w:lang w:val="en-US" w:eastAsia="en-US"/>
        </w:rPr>
        <w:t>Set A = {CSI-RS Resource Beam 1, CSI-RS Resource Beam 2, CSI-RS Resource Beam 3}</w:t>
      </w:r>
    </w:p>
    <w:p w14:paraId="446CF3A1" w14:textId="77777777" w:rsidR="007705BC" w:rsidRPr="0043056A" w:rsidRDefault="007705BC" w:rsidP="007705BC">
      <w:pPr>
        <w:autoSpaceDE w:val="0"/>
        <w:autoSpaceDN w:val="0"/>
        <w:adjustRightInd w:val="0"/>
        <w:snapToGrid w:val="0"/>
        <w:spacing w:before="0" w:line="240" w:lineRule="auto"/>
        <w:ind w:left="720"/>
        <w:rPr>
          <w:rFonts w:eastAsia="MS Mincho" w:cs="Times New Roman"/>
          <w:lang w:val="en-US" w:eastAsia="en-US"/>
        </w:rPr>
      </w:pPr>
      <w:r w:rsidRPr="0043056A">
        <w:rPr>
          <w:rFonts w:eastAsia="MS Mincho" w:cs="Times New Roman"/>
          <w:lang w:val="en-US" w:eastAsia="en-US"/>
        </w:rPr>
        <w:t>Set B = {CSI-RS Resource Beam 1, CSI-RS Resource Beam 3, CSI-RS Resource Beam 4}</w:t>
      </w:r>
    </w:p>
    <w:p w14:paraId="22CB3A23" w14:textId="77777777" w:rsidR="007705BC" w:rsidRPr="0043056A" w:rsidRDefault="007705BC" w:rsidP="007705BC">
      <w:pPr>
        <w:autoSpaceDE w:val="0"/>
        <w:autoSpaceDN w:val="0"/>
        <w:adjustRightInd w:val="0"/>
        <w:snapToGrid w:val="0"/>
        <w:spacing w:before="0" w:line="240" w:lineRule="auto"/>
        <w:ind w:left="720"/>
        <w:rPr>
          <w:rFonts w:eastAsia="MS Mincho" w:cs="Times New Roman"/>
          <w:lang w:val="en-US" w:eastAsia="en-US"/>
        </w:rPr>
      </w:pPr>
      <w:r w:rsidRPr="0043056A">
        <w:rPr>
          <w:rFonts w:eastAsia="MS Mincho" w:cs="Times New Roman"/>
          <w:lang w:val="en-US" w:eastAsia="en-US"/>
        </w:rPr>
        <w:t>Set C = {CSI-RS Resource Beam 1, CSI-RS Resource Beam 4, CSI-RS Resource Beam 5}</w:t>
      </w:r>
    </w:p>
    <w:p w14:paraId="69821D11" w14:textId="77777777" w:rsidR="007705BC" w:rsidRPr="0043056A" w:rsidRDefault="007705BC" w:rsidP="007705BC">
      <w:pPr>
        <w:autoSpaceDE w:val="0"/>
        <w:autoSpaceDN w:val="0"/>
        <w:adjustRightInd w:val="0"/>
        <w:snapToGrid w:val="0"/>
        <w:spacing w:before="0" w:line="240" w:lineRule="auto"/>
        <w:ind w:left="720"/>
        <w:rPr>
          <w:rFonts w:eastAsia="MS Mincho" w:cs="Times New Roman"/>
          <w:lang w:val="en-US" w:eastAsia="en-US"/>
        </w:rPr>
      </w:pPr>
      <w:r w:rsidRPr="0043056A">
        <w:rPr>
          <w:rFonts w:eastAsia="MS Mincho" w:cs="Times New Roman"/>
          <w:lang w:val="en-US" w:eastAsia="en-US"/>
        </w:rPr>
        <w:t>Set D = {CSI-RS Resource Beam 1, CSI-RS Resource Beam 5, CSI-RS Resource Beam 6}</w:t>
      </w:r>
    </w:p>
    <w:p w14:paraId="3FA1F289" w14:textId="77777777" w:rsidR="007705BC" w:rsidRPr="0043056A" w:rsidRDefault="007705BC" w:rsidP="007705BC">
      <w:pPr>
        <w:autoSpaceDE w:val="0"/>
        <w:autoSpaceDN w:val="0"/>
        <w:adjustRightInd w:val="0"/>
        <w:snapToGrid w:val="0"/>
        <w:spacing w:before="0" w:line="240" w:lineRule="auto"/>
        <w:ind w:left="720"/>
        <w:rPr>
          <w:rFonts w:eastAsia="MS Mincho" w:cs="Times New Roman"/>
          <w:lang w:val="en-US" w:eastAsia="en-US"/>
        </w:rPr>
      </w:pPr>
      <w:r w:rsidRPr="0043056A">
        <w:rPr>
          <w:rFonts w:eastAsia="MS Mincho" w:cs="Times New Roman"/>
          <w:lang w:val="en-US" w:eastAsia="en-US"/>
        </w:rPr>
        <w:t>Set E = {CSI-RS Resource Beam 1, CSI-RS Resource Beam 6, CSI-RS Resource Beam 7}</w:t>
      </w:r>
    </w:p>
    <w:p w14:paraId="42E2580C" w14:textId="77777777" w:rsidR="007705BC" w:rsidRPr="0043056A" w:rsidRDefault="007705BC" w:rsidP="007705BC">
      <w:pPr>
        <w:autoSpaceDE w:val="0"/>
        <w:autoSpaceDN w:val="0"/>
        <w:adjustRightInd w:val="0"/>
        <w:snapToGrid w:val="0"/>
        <w:spacing w:before="0" w:line="240" w:lineRule="auto"/>
        <w:ind w:left="720"/>
        <w:rPr>
          <w:rFonts w:eastAsia="MS Mincho" w:cs="Times New Roman"/>
          <w:lang w:val="en-US" w:eastAsia="en-US"/>
        </w:rPr>
      </w:pPr>
      <w:r w:rsidRPr="0043056A">
        <w:rPr>
          <w:rFonts w:eastAsia="MS Mincho" w:cs="Times New Roman"/>
          <w:lang w:val="en-US" w:eastAsia="en-US"/>
        </w:rPr>
        <w:t>Set F = {CSI-RS Resource Beam 1, CSI-RS Resource Beam 7, CSI-RS Resource Beam 2}</w:t>
      </w:r>
    </w:p>
    <w:p w14:paraId="00589BE1" w14:textId="77777777" w:rsidR="007705BC" w:rsidRPr="0043056A" w:rsidRDefault="007705BC" w:rsidP="007705BC">
      <w:pPr>
        <w:autoSpaceDE w:val="0"/>
        <w:autoSpaceDN w:val="0"/>
        <w:adjustRightInd w:val="0"/>
        <w:snapToGrid w:val="0"/>
        <w:spacing w:before="0" w:line="240" w:lineRule="auto"/>
        <w:ind w:left="720"/>
        <w:rPr>
          <w:rFonts w:eastAsia="MS Mincho" w:cs="Times New Roman"/>
          <w:lang w:val="en-US" w:eastAsia="en-US"/>
        </w:rPr>
      </w:pPr>
      <w:r w:rsidRPr="0043056A">
        <w:rPr>
          <w:rFonts w:eastAsia="MS Mincho" w:cs="Times New Roman"/>
          <w:lang w:val="en-US" w:eastAsia="en-US"/>
        </w:rPr>
        <w:t>Set G = {CSI-RS Resource Beam 1}</w:t>
      </w:r>
    </w:p>
    <w:p w14:paraId="6260C035" w14:textId="77777777" w:rsidR="007705BC" w:rsidRPr="0043056A" w:rsidRDefault="007705BC" w:rsidP="007705BC">
      <w:pPr>
        <w:autoSpaceDE w:val="0"/>
        <w:autoSpaceDN w:val="0"/>
        <w:adjustRightInd w:val="0"/>
        <w:snapToGrid w:val="0"/>
        <w:spacing w:before="0" w:line="240" w:lineRule="auto"/>
        <w:ind w:left="720"/>
        <w:rPr>
          <w:rFonts w:eastAsia="MS Mincho" w:cs="Times New Roman"/>
          <w:lang w:val="en-US" w:eastAsia="en-US"/>
        </w:rPr>
      </w:pPr>
      <w:r w:rsidRPr="0043056A">
        <w:rPr>
          <w:rFonts w:eastAsia="MS Mincho" w:cs="Times New Roman"/>
          <w:lang w:val="en-US" w:eastAsia="en-US"/>
        </w:rPr>
        <w:t>…</w:t>
      </w:r>
    </w:p>
    <w:p w14:paraId="34BA974F" w14:textId="77777777" w:rsidR="007705BC" w:rsidRPr="0043056A" w:rsidRDefault="007705BC" w:rsidP="007705BC">
      <w:pPr>
        <w:autoSpaceDE w:val="0"/>
        <w:autoSpaceDN w:val="0"/>
        <w:adjustRightInd w:val="0"/>
        <w:snapToGrid w:val="0"/>
        <w:spacing w:before="0" w:line="240" w:lineRule="auto"/>
        <w:rPr>
          <w:rFonts w:eastAsia="MS Mincho" w:cs="Times New Roman"/>
          <w:lang w:val="en-US" w:eastAsia="en-US"/>
        </w:rPr>
      </w:pPr>
      <w:r w:rsidRPr="0043056A">
        <w:rPr>
          <w:rFonts w:eastAsia="MS Mincho" w:cs="Times New Roman"/>
          <w:lang w:val="en-US" w:eastAsia="en-US"/>
        </w:rPr>
        <w:t xml:space="preserve">   where “CSI-RS Resource Beam X” denotes CSI-RS resources configured to measure the quality/strength of beam with logical index X. </w:t>
      </w:r>
    </w:p>
    <w:p w14:paraId="754B82B2" w14:textId="77777777" w:rsidR="007705BC" w:rsidRPr="0043056A" w:rsidRDefault="007705BC" w:rsidP="007705BC">
      <w:pPr>
        <w:autoSpaceDE w:val="0"/>
        <w:autoSpaceDN w:val="0"/>
        <w:adjustRightInd w:val="0"/>
        <w:snapToGrid w:val="0"/>
        <w:spacing w:before="0" w:line="240" w:lineRule="auto"/>
        <w:rPr>
          <w:rFonts w:eastAsia="MS Mincho" w:cs="Times New Roman"/>
          <w:lang w:val="en-US" w:eastAsia="en-US"/>
        </w:rPr>
      </w:pPr>
      <w:r w:rsidRPr="0043056A">
        <w:rPr>
          <w:rFonts w:eastAsia="MS Mincho" w:cs="Times New Roman"/>
          <w:lang w:val="en-US" w:eastAsia="en-US"/>
        </w:rPr>
        <w:t xml:space="preserve">These resource sets may be either configured via RRC signaling or broadcast in system information. UE performs measurement on candidate beams for beam selection and switching only if quality of reference signal in the current beam is below a certain threshold and the UE has determined it is within/approaching coverage region of another beam based on the resource set it is signaled to measure. UE indicates the strongest beam, based on the measurements performed on reference signals, to the gNB for beam switching. Such a method can result in reduced overhead as not all measurement results are sent to the gNB. Moreover, UE’s channel condition is </w:t>
      </w:r>
      <w:proofErr w:type="gramStart"/>
      <w:r w:rsidRPr="0043056A">
        <w:rPr>
          <w:rFonts w:eastAsia="MS Mincho" w:cs="Times New Roman"/>
          <w:lang w:val="en-US" w:eastAsia="en-US"/>
        </w:rPr>
        <w:t>taken into account</w:t>
      </w:r>
      <w:proofErr w:type="gramEnd"/>
      <w:r w:rsidRPr="0043056A">
        <w:rPr>
          <w:rFonts w:eastAsia="MS Mincho" w:cs="Times New Roman"/>
          <w:lang w:val="en-US" w:eastAsia="en-US"/>
        </w:rPr>
        <w:t xml:space="preserve"> since beam switching decision is based on measurement of signals from candidate beams from the candidate CSI-RS set(s) configured for the UE. Beam indication is triggered upon meeting certain condition(s), e.g., when the RSRP of another beam is X dB higher than the serving beam (X can be configured by gNB). Selected beam indication takes place via L1 or MAC layer reporting or RRC signaling.</w:t>
      </w:r>
    </w:p>
    <w:p w14:paraId="6CE1CE10" w14:textId="77777777" w:rsidR="007705BC" w:rsidRPr="0043056A" w:rsidRDefault="007705BC" w:rsidP="007705BC">
      <w:pPr>
        <w:autoSpaceDE w:val="0"/>
        <w:autoSpaceDN w:val="0"/>
        <w:adjustRightInd w:val="0"/>
        <w:snapToGrid w:val="0"/>
        <w:spacing w:before="0" w:line="240" w:lineRule="auto"/>
        <w:rPr>
          <w:rFonts w:eastAsia="MS Mincho" w:cs="Times New Roman"/>
          <w:lang w:val="en-US" w:eastAsia="en-US"/>
        </w:rPr>
      </w:pPr>
      <w:r w:rsidRPr="0043056A">
        <w:rPr>
          <w:rFonts w:eastAsia="MS Mincho" w:cs="Times New Roman"/>
          <w:lang w:val="en-US" w:eastAsia="en-US"/>
        </w:rPr>
        <w:t>For a UE to perform measurements on candidate beams and switch to the selected beam, assistance information from the gNB about the target beams can be sent e.g., via a MAC-CE scheduled via a group common DCI to one beam. The group comprises of all UEs served by the current beam and the information is related to the candidate beams surrounding current beam.</w:t>
      </w:r>
    </w:p>
    <w:p w14:paraId="2DAB2F21" w14:textId="77777777" w:rsidR="007705BC" w:rsidRPr="0043056A" w:rsidRDefault="007705BC" w:rsidP="007705BC">
      <w:pPr>
        <w:autoSpaceDE w:val="0"/>
        <w:autoSpaceDN w:val="0"/>
        <w:adjustRightInd w:val="0"/>
        <w:snapToGrid w:val="0"/>
        <w:spacing w:before="0" w:line="240" w:lineRule="auto"/>
        <w:rPr>
          <w:rFonts w:eastAsia="MS Mincho" w:cs="Times New Roman"/>
          <w:lang w:val="en-US" w:eastAsia="en-US"/>
        </w:rPr>
      </w:pPr>
      <w:r w:rsidRPr="0043056A">
        <w:rPr>
          <w:rFonts w:eastAsia="MS Mincho" w:cs="Times New Roman"/>
          <w:lang w:val="en-US" w:eastAsia="en-US"/>
        </w:rPr>
        <w:lastRenderedPageBreak/>
        <w:t>Another option is to send relevant information of all beams of the satellite to all UEs served by the satellite in system information.</w:t>
      </w:r>
    </w:p>
    <w:p w14:paraId="1B3BCD72" w14:textId="77777777" w:rsidR="007705BC" w:rsidRPr="0043056A" w:rsidRDefault="007705BC" w:rsidP="007705BC">
      <w:pPr>
        <w:autoSpaceDE w:val="0"/>
        <w:autoSpaceDN w:val="0"/>
        <w:adjustRightInd w:val="0"/>
        <w:snapToGrid w:val="0"/>
        <w:spacing w:before="0" w:line="240" w:lineRule="auto"/>
        <w:rPr>
          <w:rFonts w:eastAsia="MS Mincho" w:cs="Times New Roman"/>
          <w:lang w:val="en-US" w:eastAsia="en-US"/>
        </w:rPr>
      </w:pPr>
      <w:r w:rsidRPr="0043056A">
        <w:rPr>
          <w:rFonts w:eastAsia="MS Mincho" w:cs="Times New Roman"/>
          <w:lang w:val="en-US" w:eastAsia="en-US"/>
        </w:rPr>
        <w:t xml:space="preserve">The assistance information does not necessarily need to include beam layout with information such as </w:t>
      </w:r>
      <w:r w:rsidRPr="0043056A">
        <w:rPr>
          <w:rFonts w:eastAsia="SimSun" w:cs="Times New Roman"/>
          <w:lang w:val="en-US"/>
        </w:rPr>
        <w:t xml:space="preserve">the beam width of BWPs/beam, center elevation and azimuth etc. Instead, with preconfigured resources and indication of candidate resources as above, the assistance information only needs to include beam specific parameters which would be necessary for a UE to know </w:t>
      </w:r>
      <w:r w:rsidRPr="0043056A">
        <w:rPr>
          <w:rFonts w:eastAsia="MS Mincho" w:cs="Times New Roman"/>
          <w:lang w:val="en-US" w:eastAsia="en-US"/>
        </w:rPr>
        <w:t xml:space="preserve">to perform measurements on candidate beams. Due to gNB’s control over candidate beam indication, it can indicate appropriate candidate beams to a UE for load balancing or interference coordination. For example, when UE1 in Figure 1 is at the edge of beam1 or for within overlapping region between beam6 and beam7, gNB can select target beam for UE1 that is more suitable for </w:t>
      </w:r>
      <w:proofErr w:type="gramStart"/>
      <w:r w:rsidRPr="0043056A">
        <w:rPr>
          <w:rFonts w:eastAsia="MS Mincho" w:cs="Times New Roman"/>
          <w:lang w:val="en-US" w:eastAsia="en-US"/>
        </w:rPr>
        <w:t>e.g.</w:t>
      </w:r>
      <w:proofErr w:type="gramEnd"/>
      <w:r w:rsidRPr="0043056A">
        <w:rPr>
          <w:rFonts w:eastAsia="MS Mincho" w:cs="Times New Roman"/>
          <w:lang w:val="en-US" w:eastAsia="en-US"/>
        </w:rPr>
        <w:t xml:space="preserve"> load balancing. </w:t>
      </w:r>
    </w:p>
    <w:p w14:paraId="60455AB0" w14:textId="77777777" w:rsidR="007705BC" w:rsidRPr="0043056A" w:rsidRDefault="007705BC" w:rsidP="007705BC">
      <w:pPr>
        <w:pStyle w:val="ListParagraph"/>
        <w:numPr>
          <w:ilvl w:val="0"/>
          <w:numId w:val="5"/>
        </w:numPr>
        <w:rPr>
          <w:rFonts w:eastAsia="SimSun" w:cs="Times New Roman"/>
          <w:b/>
          <w:bCs/>
          <w:i/>
          <w:iCs/>
          <w:lang w:val="en-US"/>
        </w:rPr>
      </w:pPr>
      <w:r w:rsidRPr="0043056A">
        <w:rPr>
          <w:rFonts w:eastAsia="SimSun" w:cs="Times New Roman"/>
          <w:i/>
          <w:iCs/>
          <w:lang w:val="en-US"/>
        </w:rPr>
        <w:t>To reduce measurement effort and retain some control of gNB over beam selection, it is proposed to support:</w:t>
      </w:r>
    </w:p>
    <w:p w14:paraId="5FB50EB1" w14:textId="77777777" w:rsidR="007705BC" w:rsidRPr="0043056A" w:rsidRDefault="007705BC" w:rsidP="007705BC">
      <w:pPr>
        <w:numPr>
          <w:ilvl w:val="0"/>
          <w:numId w:val="27"/>
        </w:numPr>
        <w:autoSpaceDE w:val="0"/>
        <w:autoSpaceDN w:val="0"/>
        <w:adjustRightInd w:val="0"/>
        <w:snapToGrid w:val="0"/>
        <w:spacing w:before="0" w:line="240" w:lineRule="auto"/>
        <w:contextualSpacing/>
        <w:rPr>
          <w:rFonts w:eastAsia="SimSun" w:cs="Times New Roman"/>
          <w:i/>
          <w:iCs/>
          <w:lang w:val="en-US"/>
        </w:rPr>
      </w:pPr>
      <w:r w:rsidRPr="0043056A">
        <w:rPr>
          <w:rFonts w:eastAsia="SimSun" w:cs="Times New Roman"/>
          <w:i/>
          <w:iCs/>
          <w:lang w:val="en-US"/>
        </w:rPr>
        <w:t>Assign mutually exclusive CSI-RS resources to neighboring beams.</w:t>
      </w:r>
    </w:p>
    <w:p w14:paraId="400186B3" w14:textId="77777777" w:rsidR="007705BC" w:rsidRPr="0043056A" w:rsidRDefault="007705BC" w:rsidP="007705BC">
      <w:pPr>
        <w:numPr>
          <w:ilvl w:val="0"/>
          <w:numId w:val="27"/>
        </w:numPr>
        <w:autoSpaceDE w:val="0"/>
        <w:autoSpaceDN w:val="0"/>
        <w:adjustRightInd w:val="0"/>
        <w:snapToGrid w:val="0"/>
        <w:spacing w:before="0" w:line="240" w:lineRule="auto"/>
        <w:contextualSpacing/>
        <w:rPr>
          <w:rFonts w:eastAsia="SimSun" w:cs="Times New Roman"/>
          <w:i/>
          <w:iCs/>
          <w:lang w:val="en-US"/>
        </w:rPr>
      </w:pPr>
      <w:r w:rsidRPr="0043056A">
        <w:rPr>
          <w:rFonts w:eastAsia="SimSun" w:cs="Times New Roman"/>
          <w:i/>
          <w:iCs/>
          <w:lang w:val="en-US"/>
        </w:rPr>
        <w:t>Configure resource sets with possible combinations of candidate CSI-RS resources depending on the beam layout.</w:t>
      </w:r>
    </w:p>
    <w:p w14:paraId="1599582C" w14:textId="77777777" w:rsidR="007705BC" w:rsidRPr="0043056A" w:rsidRDefault="007705BC" w:rsidP="007705BC">
      <w:pPr>
        <w:numPr>
          <w:ilvl w:val="0"/>
          <w:numId w:val="27"/>
        </w:numPr>
        <w:autoSpaceDE w:val="0"/>
        <w:autoSpaceDN w:val="0"/>
        <w:adjustRightInd w:val="0"/>
        <w:snapToGrid w:val="0"/>
        <w:spacing w:before="0" w:line="240" w:lineRule="auto"/>
        <w:contextualSpacing/>
        <w:rPr>
          <w:rFonts w:eastAsia="SimSun" w:cs="Times New Roman"/>
          <w:i/>
          <w:iCs/>
          <w:lang w:val="en-US"/>
        </w:rPr>
      </w:pPr>
      <w:r w:rsidRPr="0043056A">
        <w:rPr>
          <w:rFonts w:eastAsia="SimSun" w:cs="Times New Roman"/>
          <w:i/>
          <w:iCs/>
          <w:lang w:val="en-US"/>
        </w:rPr>
        <w:t>Signaling from gNB indicates the candidate beams for measurement and beam switching.</w:t>
      </w:r>
    </w:p>
    <w:p w14:paraId="36D84CFA" w14:textId="77777777" w:rsidR="007705BC" w:rsidRPr="0043056A" w:rsidRDefault="007705BC" w:rsidP="007705BC">
      <w:pPr>
        <w:numPr>
          <w:ilvl w:val="0"/>
          <w:numId w:val="27"/>
        </w:numPr>
        <w:autoSpaceDE w:val="0"/>
        <w:autoSpaceDN w:val="0"/>
        <w:adjustRightInd w:val="0"/>
        <w:snapToGrid w:val="0"/>
        <w:spacing w:before="0" w:line="240" w:lineRule="auto"/>
        <w:contextualSpacing/>
        <w:rPr>
          <w:rFonts w:eastAsia="SimSun" w:cs="Times New Roman"/>
          <w:i/>
          <w:iCs/>
          <w:lang w:val="en-US"/>
        </w:rPr>
      </w:pPr>
      <w:r w:rsidRPr="0043056A">
        <w:rPr>
          <w:rFonts w:eastAsia="SimSun" w:cs="Times New Roman"/>
          <w:i/>
          <w:iCs/>
          <w:lang w:val="en-US"/>
        </w:rPr>
        <w:t xml:space="preserve">Assistance information from gNB includes any necessary information a UE would require </w:t>
      </w:r>
      <w:proofErr w:type="gramStart"/>
      <w:r w:rsidRPr="0043056A">
        <w:rPr>
          <w:rFonts w:eastAsia="SimSun" w:cs="Times New Roman"/>
          <w:i/>
          <w:iCs/>
          <w:lang w:val="en-US"/>
        </w:rPr>
        <w:t>to perform</w:t>
      </w:r>
      <w:proofErr w:type="gramEnd"/>
      <w:r w:rsidRPr="0043056A">
        <w:rPr>
          <w:rFonts w:eastAsia="SimSun" w:cs="Times New Roman"/>
          <w:i/>
          <w:iCs/>
          <w:lang w:val="en-US"/>
        </w:rPr>
        <w:t xml:space="preserve"> measurements on candidate beams.</w:t>
      </w:r>
    </w:p>
    <w:p w14:paraId="230DE71E" w14:textId="77777777" w:rsidR="007705BC" w:rsidRPr="0043056A" w:rsidRDefault="007705BC" w:rsidP="007705BC">
      <w:pPr>
        <w:numPr>
          <w:ilvl w:val="0"/>
          <w:numId w:val="27"/>
        </w:numPr>
        <w:autoSpaceDE w:val="0"/>
        <w:autoSpaceDN w:val="0"/>
        <w:adjustRightInd w:val="0"/>
        <w:snapToGrid w:val="0"/>
        <w:spacing w:before="0" w:line="240" w:lineRule="auto"/>
        <w:contextualSpacing/>
        <w:rPr>
          <w:rFonts w:eastAsia="SimSun" w:cs="Times New Roman"/>
          <w:i/>
          <w:iCs/>
          <w:lang w:val="en-US"/>
        </w:rPr>
      </w:pPr>
      <w:r w:rsidRPr="0043056A">
        <w:rPr>
          <w:rFonts w:eastAsia="SimSun" w:cs="Times New Roman"/>
          <w:i/>
          <w:iCs/>
          <w:lang w:val="en-US"/>
        </w:rPr>
        <w:t>UE indicates selected beam for switching to the gNB based on measurement results from the candidate beams from the configured CSI-RS set(s).</w:t>
      </w:r>
    </w:p>
    <w:p w14:paraId="768CC9B4" w14:textId="77777777" w:rsidR="00FB791E" w:rsidRPr="007705BC" w:rsidRDefault="00FB791E" w:rsidP="00456D36">
      <w:pPr>
        <w:rPr>
          <w:lang w:val="en-US" w:eastAsia="en-US"/>
        </w:rPr>
      </w:pPr>
    </w:p>
    <w:p w14:paraId="00A05E90" w14:textId="5871BEF6" w:rsidR="0082773D" w:rsidRPr="00B328F2" w:rsidRDefault="00690981" w:rsidP="00690981">
      <w:pPr>
        <w:pStyle w:val="Heading1"/>
        <w:rPr>
          <w:lang w:eastAsia="ja-JP"/>
        </w:rPr>
      </w:pPr>
      <w:r w:rsidRPr="00B328F2">
        <w:rPr>
          <w:lang w:eastAsia="en-US"/>
        </w:rPr>
        <w:t xml:space="preserve">Conclusion </w:t>
      </w:r>
    </w:p>
    <w:p w14:paraId="5E19D6E3" w14:textId="15087E12" w:rsidR="00D56353" w:rsidRPr="00B328F2" w:rsidRDefault="00D56353" w:rsidP="00D56353">
      <w:r w:rsidRPr="00B328F2">
        <w:t xml:space="preserve">From the discussion, we have the following </w:t>
      </w:r>
      <w:r w:rsidR="00AD7072" w:rsidRPr="00B328F2">
        <w:t>ob</w:t>
      </w:r>
      <w:r w:rsidR="00AD7072">
        <w:t>ser</w:t>
      </w:r>
      <w:r w:rsidR="00AD7072" w:rsidRPr="00B328F2">
        <w:t>vations</w:t>
      </w:r>
      <w:r w:rsidRPr="00B328F2">
        <w:t xml:space="preserve"> and proposals: </w:t>
      </w:r>
    </w:p>
    <w:p w14:paraId="7E3CEC4C" w14:textId="34C909B8" w:rsidR="000D157E" w:rsidRPr="000D157E" w:rsidRDefault="000D157E" w:rsidP="000D157E">
      <w:pPr>
        <w:widowControl w:val="0"/>
        <w:adjustRightInd w:val="0"/>
        <w:snapToGrid w:val="0"/>
        <w:spacing w:line="300" w:lineRule="auto"/>
        <w:rPr>
          <w:rFonts w:eastAsia="MS Mincho" w:cs="Times New Roman"/>
          <w:b/>
          <w:bCs/>
          <w:kern w:val="2"/>
          <w:lang w:eastAsia="en-US"/>
        </w:rPr>
      </w:pPr>
      <w:r w:rsidRPr="000D157E">
        <w:rPr>
          <w:rFonts w:eastAsia="MS Mincho" w:cs="Times New Roman"/>
          <w:b/>
          <w:bCs/>
          <w:kern w:val="2"/>
          <w:lang w:eastAsia="en-US"/>
        </w:rPr>
        <w:t>Proposal 1</w:t>
      </w:r>
      <w:r w:rsidRPr="000D157E">
        <w:rPr>
          <w:rFonts w:eastAsia="MS Mincho" w:cs="Times New Roman"/>
          <w:b/>
          <w:bCs/>
          <w:kern w:val="2"/>
          <w:lang w:eastAsia="en-US"/>
        </w:rPr>
        <w:tab/>
        <w:t xml:space="preserve">Support PUR for NGSO-based IoT NTN.  </w:t>
      </w:r>
    </w:p>
    <w:p w14:paraId="024216E6" w14:textId="77777777" w:rsidR="000D157E" w:rsidRPr="000D157E" w:rsidRDefault="000D157E" w:rsidP="000D157E">
      <w:pPr>
        <w:widowControl w:val="0"/>
        <w:adjustRightInd w:val="0"/>
        <w:snapToGrid w:val="0"/>
        <w:spacing w:line="300" w:lineRule="auto"/>
        <w:rPr>
          <w:rFonts w:eastAsia="MS Mincho" w:cs="Times New Roman"/>
          <w:b/>
          <w:bCs/>
          <w:kern w:val="2"/>
          <w:lang w:eastAsia="en-US"/>
        </w:rPr>
      </w:pPr>
      <w:r w:rsidRPr="000D157E">
        <w:rPr>
          <w:rFonts w:eastAsia="MS Mincho" w:cs="Times New Roman"/>
          <w:b/>
          <w:bCs/>
          <w:kern w:val="2"/>
          <w:lang w:eastAsia="en-US"/>
        </w:rPr>
        <w:t>Proposal 2</w:t>
      </w:r>
      <w:r w:rsidRPr="000D157E">
        <w:rPr>
          <w:rFonts w:eastAsia="MS Mincho" w:cs="Times New Roman"/>
          <w:b/>
          <w:bCs/>
          <w:kern w:val="2"/>
          <w:lang w:eastAsia="en-US"/>
        </w:rPr>
        <w:tab/>
        <w:t xml:space="preserve">Potential enhancements might be needed to support PUR for NGSO-based IoT NTN, as the UE may change serving cell frequently. </w:t>
      </w:r>
    </w:p>
    <w:p w14:paraId="260D47CB" w14:textId="43AED8E0" w:rsidR="000D157E" w:rsidRPr="000D157E" w:rsidRDefault="000D157E" w:rsidP="000D157E">
      <w:pPr>
        <w:widowControl w:val="0"/>
        <w:adjustRightInd w:val="0"/>
        <w:snapToGrid w:val="0"/>
        <w:spacing w:line="300" w:lineRule="auto"/>
        <w:rPr>
          <w:rFonts w:eastAsia="MS Mincho" w:cs="Times New Roman"/>
          <w:b/>
          <w:bCs/>
          <w:kern w:val="2"/>
          <w:lang w:eastAsia="en-US"/>
        </w:rPr>
      </w:pPr>
      <w:r w:rsidRPr="000D157E">
        <w:rPr>
          <w:rFonts w:eastAsia="MS Mincho" w:cs="Times New Roman"/>
          <w:b/>
          <w:bCs/>
          <w:kern w:val="2"/>
          <w:lang w:eastAsia="en-US"/>
        </w:rPr>
        <w:t xml:space="preserve">Proposal </w:t>
      </w:r>
      <w:r w:rsidR="007705BC">
        <w:rPr>
          <w:rFonts w:eastAsia="MS Mincho" w:cs="Times New Roman"/>
          <w:b/>
          <w:bCs/>
          <w:kern w:val="2"/>
          <w:lang w:eastAsia="en-US"/>
        </w:rPr>
        <w:t>3</w:t>
      </w:r>
      <w:r w:rsidRPr="000D157E">
        <w:rPr>
          <w:rFonts w:eastAsia="MS Mincho" w:cs="Times New Roman"/>
          <w:b/>
          <w:bCs/>
          <w:kern w:val="2"/>
          <w:lang w:eastAsia="en-US"/>
        </w:rPr>
        <w:tab/>
        <w:t>Support timer-based BWP switching to a new default BWP.</w:t>
      </w:r>
    </w:p>
    <w:p w14:paraId="64CC59D8" w14:textId="4076C7F2" w:rsidR="00D56353" w:rsidRDefault="000D157E" w:rsidP="000D157E">
      <w:pPr>
        <w:widowControl w:val="0"/>
        <w:adjustRightInd w:val="0"/>
        <w:snapToGrid w:val="0"/>
        <w:spacing w:line="300" w:lineRule="auto"/>
        <w:rPr>
          <w:rFonts w:eastAsia="MS Mincho" w:cs="Times New Roman"/>
          <w:b/>
          <w:bCs/>
          <w:kern w:val="2"/>
          <w:lang w:eastAsia="en-US"/>
        </w:rPr>
      </w:pPr>
      <w:r w:rsidRPr="000D157E">
        <w:rPr>
          <w:rFonts w:eastAsia="MS Mincho" w:cs="Times New Roman"/>
          <w:b/>
          <w:bCs/>
          <w:kern w:val="2"/>
          <w:lang w:eastAsia="en-US"/>
        </w:rPr>
        <w:t xml:space="preserve">Proposal </w:t>
      </w:r>
      <w:r w:rsidR="007705BC">
        <w:rPr>
          <w:rFonts w:eastAsia="MS Mincho" w:cs="Times New Roman"/>
          <w:b/>
          <w:bCs/>
          <w:kern w:val="2"/>
          <w:lang w:eastAsia="en-US"/>
        </w:rPr>
        <w:t>4</w:t>
      </w:r>
      <w:r w:rsidRPr="000D157E">
        <w:rPr>
          <w:rFonts w:eastAsia="MS Mincho" w:cs="Times New Roman"/>
          <w:b/>
          <w:bCs/>
          <w:kern w:val="2"/>
          <w:lang w:eastAsia="en-US"/>
        </w:rPr>
        <w:tab/>
        <w:t>Support the L1 filtered measurement report as a notification to gNB for BWP switching.</w:t>
      </w:r>
    </w:p>
    <w:p w14:paraId="4420D166" w14:textId="32A10BF8" w:rsidR="007705BC" w:rsidRPr="000D157E" w:rsidRDefault="007705BC" w:rsidP="007705BC">
      <w:pPr>
        <w:widowControl w:val="0"/>
        <w:adjustRightInd w:val="0"/>
        <w:snapToGrid w:val="0"/>
        <w:spacing w:line="300" w:lineRule="auto"/>
        <w:rPr>
          <w:rFonts w:eastAsia="MS Mincho" w:cs="Times New Roman"/>
          <w:b/>
          <w:bCs/>
          <w:kern w:val="2"/>
          <w:lang w:eastAsia="en-US"/>
        </w:rPr>
      </w:pPr>
      <w:r w:rsidRPr="000D157E">
        <w:rPr>
          <w:rFonts w:eastAsia="MS Mincho" w:cs="Times New Roman"/>
          <w:b/>
          <w:bCs/>
          <w:kern w:val="2"/>
          <w:lang w:eastAsia="en-US"/>
        </w:rPr>
        <w:t xml:space="preserve">Proposal </w:t>
      </w:r>
      <w:r>
        <w:rPr>
          <w:rFonts w:eastAsia="MS Mincho" w:cs="Times New Roman"/>
          <w:b/>
          <w:bCs/>
          <w:kern w:val="2"/>
          <w:lang w:eastAsia="en-US"/>
        </w:rPr>
        <w:t>5</w:t>
      </w:r>
      <w:r w:rsidRPr="000D157E">
        <w:rPr>
          <w:rFonts w:eastAsia="MS Mincho" w:cs="Times New Roman"/>
          <w:b/>
          <w:bCs/>
          <w:kern w:val="2"/>
          <w:lang w:eastAsia="en-US"/>
        </w:rPr>
        <w:tab/>
        <w:t>To reduce measurement effort and retain some control of gNB over beam selection, it is proposed to support:</w:t>
      </w:r>
    </w:p>
    <w:p w14:paraId="3A0E0375" w14:textId="77777777" w:rsidR="007705BC" w:rsidRPr="000D157E" w:rsidRDefault="007705BC" w:rsidP="007705BC">
      <w:pPr>
        <w:widowControl w:val="0"/>
        <w:adjustRightInd w:val="0"/>
        <w:snapToGrid w:val="0"/>
        <w:spacing w:before="0" w:after="0" w:line="240" w:lineRule="auto"/>
        <w:ind w:left="720"/>
        <w:rPr>
          <w:rFonts w:eastAsia="MS Mincho" w:cs="Times New Roman"/>
          <w:b/>
          <w:bCs/>
          <w:kern w:val="2"/>
          <w:lang w:eastAsia="en-US"/>
        </w:rPr>
      </w:pPr>
      <w:r w:rsidRPr="000D157E">
        <w:rPr>
          <w:rFonts w:eastAsia="MS Mincho" w:cs="Times New Roman"/>
          <w:b/>
          <w:bCs/>
          <w:kern w:val="2"/>
          <w:lang w:eastAsia="en-US"/>
        </w:rPr>
        <w:t>-</w:t>
      </w:r>
      <w:r w:rsidRPr="000D157E">
        <w:rPr>
          <w:rFonts w:eastAsia="MS Mincho" w:cs="Times New Roman"/>
          <w:b/>
          <w:bCs/>
          <w:kern w:val="2"/>
          <w:lang w:eastAsia="en-US"/>
        </w:rPr>
        <w:tab/>
        <w:t>Assign mutually exclusive CSI-RS resources to neighboring beams.</w:t>
      </w:r>
    </w:p>
    <w:p w14:paraId="46A76B55" w14:textId="77777777" w:rsidR="007705BC" w:rsidRPr="000D157E" w:rsidRDefault="007705BC" w:rsidP="007705BC">
      <w:pPr>
        <w:widowControl w:val="0"/>
        <w:adjustRightInd w:val="0"/>
        <w:snapToGrid w:val="0"/>
        <w:spacing w:before="0" w:after="0" w:line="240" w:lineRule="auto"/>
        <w:ind w:left="720"/>
        <w:rPr>
          <w:rFonts w:eastAsia="MS Mincho" w:cs="Times New Roman"/>
          <w:b/>
          <w:bCs/>
          <w:kern w:val="2"/>
          <w:lang w:eastAsia="en-US"/>
        </w:rPr>
      </w:pPr>
      <w:r w:rsidRPr="000D157E">
        <w:rPr>
          <w:rFonts w:eastAsia="MS Mincho" w:cs="Times New Roman"/>
          <w:b/>
          <w:bCs/>
          <w:kern w:val="2"/>
          <w:lang w:eastAsia="en-US"/>
        </w:rPr>
        <w:t>-</w:t>
      </w:r>
      <w:r w:rsidRPr="000D157E">
        <w:rPr>
          <w:rFonts w:eastAsia="MS Mincho" w:cs="Times New Roman"/>
          <w:b/>
          <w:bCs/>
          <w:kern w:val="2"/>
          <w:lang w:eastAsia="en-US"/>
        </w:rPr>
        <w:tab/>
        <w:t>Configure resource sets with possible combinations of candidate CSI-RS resources depending on the beam layout.</w:t>
      </w:r>
    </w:p>
    <w:p w14:paraId="1FCD6ED4" w14:textId="77777777" w:rsidR="007705BC" w:rsidRPr="000D157E" w:rsidRDefault="007705BC" w:rsidP="007705BC">
      <w:pPr>
        <w:widowControl w:val="0"/>
        <w:adjustRightInd w:val="0"/>
        <w:snapToGrid w:val="0"/>
        <w:spacing w:before="0" w:after="0" w:line="240" w:lineRule="auto"/>
        <w:ind w:left="720"/>
        <w:rPr>
          <w:rFonts w:eastAsia="MS Mincho" w:cs="Times New Roman"/>
          <w:b/>
          <w:bCs/>
          <w:kern w:val="2"/>
          <w:lang w:eastAsia="en-US"/>
        </w:rPr>
      </w:pPr>
      <w:r w:rsidRPr="000D157E">
        <w:rPr>
          <w:rFonts w:eastAsia="MS Mincho" w:cs="Times New Roman"/>
          <w:b/>
          <w:bCs/>
          <w:kern w:val="2"/>
          <w:lang w:eastAsia="en-US"/>
        </w:rPr>
        <w:t>-</w:t>
      </w:r>
      <w:r w:rsidRPr="000D157E">
        <w:rPr>
          <w:rFonts w:eastAsia="MS Mincho" w:cs="Times New Roman"/>
          <w:b/>
          <w:bCs/>
          <w:kern w:val="2"/>
          <w:lang w:eastAsia="en-US"/>
        </w:rPr>
        <w:tab/>
        <w:t>Signaling from gNB indicates the candidate beams for measurement and beam switching.</w:t>
      </w:r>
    </w:p>
    <w:p w14:paraId="2721716A" w14:textId="77777777" w:rsidR="007705BC" w:rsidRPr="000D157E" w:rsidRDefault="007705BC" w:rsidP="007705BC">
      <w:pPr>
        <w:widowControl w:val="0"/>
        <w:adjustRightInd w:val="0"/>
        <w:snapToGrid w:val="0"/>
        <w:spacing w:before="0" w:after="0" w:line="240" w:lineRule="auto"/>
        <w:ind w:left="720"/>
        <w:rPr>
          <w:rFonts w:eastAsia="MS Mincho" w:cs="Times New Roman"/>
          <w:b/>
          <w:bCs/>
          <w:kern w:val="2"/>
          <w:lang w:eastAsia="en-US"/>
        </w:rPr>
      </w:pPr>
      <w:r w:rsidRPr="000D157E">
        <w:rPr>
          <w:rFonts w:eastAsia="MS Mincho" w:cs="Times New Roman"/>
          <w:b/>
          <w:bCs/>
          <w:kern w:val="2"/>
          <w:lang w:eastAsia="en-US"/>
        </w:rPr>
        <w:t>-</w:t>
      </w:r>
      <w:r w:rsidRPr="000D157E">
        <w:rPr>
          <w:rFonts w:eastAsia="MS Mincho" w:cs="Times New Roman"/>
          <w:b/>
          <w:bCs/>
          <w:kern w:val="2"/>
          <w:lang w:eastAsia="en-US"/>
        </w:rPr>
        <w:tab/>
        <w:t xml:space="preserve">Assistance information from gNB includes any necessary information a UE would require </w:t>
      </w:r>
      <w:proofErr w:type="gramStart"/>
      <w:r w:rsidRPr="000D157E">
        <w:rPr>
          <w:rFonts w:eastAsia="MS Mincho" w:cs="Times New Roman"/>
          <w:b/>
          <w:bCs/>
          <w:kern w:val="2"/>
          <w:lang w:eastAsia="en-US"/>
        </w:rPr>
        <w:t>to perform</w:t>
      </w:r>
      <w:proofErr w:type="gramEnd"/>
      <w:r w:rsidRPr="000D157E">
        <w:rPr>
          <w:rFonts w:eastAsia="MS Mincho" w:cs="Times New Roman"/>
          <w:b/>
          <w:bCs/>
          <w:kern w:val="2"/>
          <w:lang w:eastAsia="en-US"/>
        </w:rPr>
        <w:t xml:space="preserve"> measurements on candidate beams.</w:t>
      </w:r>
    </w:p>
    <w:p w14:paraId="4908C467" w14:textId="77777777" w:rsidR="007705BC" w:rsidRPr="000D157E" w:rsidRDefault="007705BC" w:rsidP="007705BC">
      <w:pPr>
        <w:widowControl w:val="0"/>
        <w:adjustRightInd w:val="0"/>
        <w:snapToGrid w:val="0"/>
        <w:spacing w:before="0" w:after="0" w:line="240" w:lineRule="auto"/>
        <w:ind w:left="720"/>
        <w:rPr>
          <w:rFonts w:eastAsia="MS Mincho" w:cs="Times New Roman"/>
          <w:b/>
          <w:bCs/>
          <w:kern w:val="2"/>
          <w:lang w:eastAsia="en-US"/>
        </w:rPr>
      </w:pPr>
      <w:r w:rsidRPr="000D157E">
        <w:rPr>
          <w:rFonts w:eastAsia="MS Mincho" w:cs="Times New Roman"/>
          <w:b/>
          <w:bCs/>
          <w:kern w:val="2"/>
          <w:lang w:eastAsia="en-US"/>
        </w:rPr>
        <w:t>-</w:t>
      </w:r>
      <w:r w:rsidRPr="000D157E">
        <w:rPr>
          <w:rFonts w:eastAsia="MS Mincho" w:cs="Times New Roman"/>
          <w:b/>
          <w:bCs/>
          <w:kern w:val="2"/>
          <w:lang w:eastAsia="en-US"/>
        </w:rPr>
        <w:tab/>
        <w:t>UE indicates selected beam for switching to the gNB based on measurement results from the candidate beams from the configured CSI-RS set(s).</w:t>
      </w:r>
    </w:p>
    <w:p w14:paraId="2A2AB9A6" w14:textId="77777777" w:rsidR="007705BC" w:rsidRPr="004355A5" w:rsidRDefault="007705BC" w:rsidP="000D157E">
      <w:pPr>
        <w:widowControl w:val="0"/>
        <w:adjustRightInd w:val="0"/>
        <w:snapToGrid w:val="0"/>
        <w:spacing w:line="300" w:lineRule="auto"/>
        <w:rPr>
          <w:rFonts w:eastAsia="MS Mincho" w:cs="Times New Roman"/>
          <w:b/>
          <w:bCs/>
          <w:kern w:val="2"/>
          <w:lang w:eastAsia="en-US"/>
        </w:rPr>
      </w:pPr>
    </w:p>
    <w:p w14:paraId="0C608F38" w14:textId="40C99FB5" w:rsidR="00690981" w:rsidRPr="00B328F2" w:rsidRDefault="00690981" w:rsidP="00690981">
      <w:pPr>
        <w:pStyle w:val="Heading1"/>
        <w:rPr>
          <w:lang w:eastAsia="ja-JP"/>
        </w:rPr>
      </w:pPr>
      <w:r w:rsidRPr="00B328F2">
        <w:rPr>
          <w:lang w:eastAsia="ja-JP"/>
        </w:rPr>
        <w:lastRenderedPageBreak/>
        <w:t xml:space="preserve">References </w:t>
      </w:r>
    </w:p>
    <w:p w14:paraId="4358A473" w14:textId="772B1863" w:rsidR="001C32D2" w:rsidRDefault="00C22738" w:rsidP="00280853">
      <w:pPr>
        <w:pStyle w:val="ListParagraph"/>
        <w:numPr>
          <w:ilvl w:val="0"/>
          <w:numId w:val="24"/>
        </w:numPr>
        <w:spacing w:line="360" w:lineRule="auto"/>
        <w:ind w:left="357" w:hanging="357"/>
      </w:pPr>
      <w:r w:rsidRPr="00C22738">
        <w:t>RP-220953</w:t>
      </w:r>
      <w:r>
        <w:t xml:space="preserve">, </w:t>
      </w:r>
      <w:r w:rsidR="001C32D2" w:rsidRPr="001C32D2">
        <w:t>NR NTN (Non-Terrestrial Networks) enhancements</w:t>
      </w:r>
      <w:r w:rsidR="001C32D2">
        <w:t>. 3GPP TSG RAN Meeting 95e, March 17 - 23, 2022</w:t>
      </w:r>
      <w:r w:rsidR="00CE6626">
        <w:t>.</w:t>
      </w:r>
    </w:p>
    <w:p w14:paraId="64F55C65" w14:textId="31DA73D5" w:rsidR="00170E17" w:rsidRDefault="00C22738" w:rsidP="00280853">
      <w:pPr>
        <w:pStyle w:val="ListParagraph"/>
        <w:numPr>
          <w:ilvl w:val="0"/>
          <w:numId w:val="24"/>
        </w:numPr>
        <w:spacing w:line="360" w:lineRule="auto"/>
        <w:ind w:left="357" w:hanging="357"/>
      </w:pPr>
      <w:bookmarkStart w:id="4" w:name="_Hlk100844539"/>
      <w:r w:rsidRPr="00C22738">
        <w:t>RP-220979</w:t>
      </w:r>
      <w:r>
        <w:t>,</w:t>
      </w:r>
      <w:r w:rsidR="00170E17" w:rsidRPr="00170E17">
        <w:t xml:space="preserve"> </w:t>
      </w:r>
      <w:bookmarkStart w:id="5" w:name="_Hlk100844531"/>
      <w:bookmarkEnd w:id="4"/>
      <w:r w:rsidR="00170E17" w:rsidRPr="00170E17">
        <w:t>WID on IoT NTN enhancements</w:t>
      </w:r>
      <w:r w:rsidR="00170E17">
        <w:t>.</w:t>
      </w:r>
      <w:r>
        <w:t xml:space="preserve"> </w:t>
      </w:r>
      <w:r w:rsidR="00170E17">
        <w:t>3GPP TSG RAN Meeting 95e,</w:t>
      </w:r>
      <w:r w:rsidR="00170E17" w:rsidRPr="00170E17">
        <w:t xml:space="preserve"> </w:t>
      </w:r>
      <w:r w:rsidR="00170E17">
        <w:t>March 17 - 23, 2022.</w:t>
      </w:r>
      <w:bookmarkEnd w:id="5"/>
    </w:p>
    <w:p w14:paraId="76350F60" w14:textId="4DAD9467" w:rsidR="00C22738" w:rsidRPr="00B328F2" w:rsidRDefault="00C22738" w:rsidP="00280853">
      <w:pPr>
        <w:pStyle w:val="ListParagraph"/>
        <w:numPr>
          <w:ilvl w:val="0"/>
          <w:numId w:val="24"/>
        </w:numPr>
        <w:spacing w:line="360" w:lineRule="auto"/>
        <w:ind w:left="357" w:hanging="357"/>
      </w:pPr>
      <w:r w:rsidRPr="00C22738">
        <w:t>R2-2107453</w:t>
      </w:r>
      <w:r>
        <w:t>,</w:t>
      </w:r>
      <w:r w:rsidRPr="00C22738">
        <w:t xml:space="preserve"> On LEO satellite flyover timing and discontinuous coverage</w:t>
      </w:r>
      <w:r w:rsidR="00F4179E">
        <w:t>.</w:t>
      </w:r>
      <w:r>
        <w:t xml:space="preserve"> TSG-RAN WG2 Meeting #115-e, August 9th - 27th, 2021, </w:t>
      </w:r>
      <w:r w:rsidRPr="00C22738">
        <w:t>Eutelsat</w:t>
      </w:r>
      <w:r>
        <w:t xml:space="preserve">. </w:t>
      </w:r>
    </w:p>
    <w:sectPr w:rsidR="00C22738" w:rsidRPr="00B328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0E0E6C80"/>
    <w:multiLevelType w:val="hybridMultilevel"/>
    <w:tmpl w:val="5DBAFF24"/>
    <w:lvl w:ilvl="0" w:tplc="D094546E">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4165525"/>
    <w:multiLevelType w:val="hybridMultilevel"/>
    <w:tmpl w:val="7C86ACCA"/>
    <w:lvl w:ilvl="0" w:tplc="3A6E1A52">
      <w:start w:val="1"/>
      <w:numFmt w:val="bullet"/>
      <w:lvlText w:val="-"/>
      <w:lvlJc w:val="left"/>
      <w:pPr>
        <w:tabs>
          <w:tab w:val="num" w:pos="720"/>
        </w:tabs>
        <w:ind w:left="720" w:hanging="360"/>
      </w:pPr>
      <w:rPr>
        <w:rFonts w:ascii="Times New Roman" w:hAnsi="Times New Roman" w:hint="default"/>
      </w:rPr>
    </w:lvl>
    <w:lvl w:ilvl="1" w:tplc="2AEE64F4" w:tentative="1">
      <w:start w:val="1"/>
      <w:numFmt w:val="bullet"/>
      <w:lvlText w:val="-"/>
      <w:lvlJc w:val="left"/>
      <w:pPr>
        <w:tabs>
          <w:tab w:val="num" w:pos="1440"/>
        </w:tabs>
        <w:ind w:left="1440" w:hanging="360"/>
      </w:pPr>
      <w:rPr>
        <w:rFonts w:ascii="Times New Roman" w:hAnsi="Times New Roman" w:hint="default"/>
      </w:rPr>
    </w:lvl>
    <w:lvl w:ilvl="2" w:tplc="414A48EA" w:tentative="1">
      <w:start w:val="1"/>
      <w:numFmt w:val="bullet"/>
      <w:lvlText w:val="-"/>
      <w:lvlJc w:val="left"/>
      <w:pPr>
        <w:tabs>
          <w:tab w:val="num" w:pos="2160"/>
        </w:tabs>
        <w:ind w:left="2160" w:hanging="360"/>
      </w:pPr>
      <w:rPr>
        <w:rFonts w:ascii="Times New Roman" w:hAnsi="Times New Roman" w:hint="default"/>
      </w:rPr>
    </w:lvl>
    <w:lvl w:ilvl="3" w:tplc="BF00E58C" w:tentative="1">
      <w:start w:val="1"/>
      <w:numFmt w:val="bullet"/>
      <w:lvlText w:val="-"/>
      <w:lvlJc w:val="left"/>
      <w:pPr>
        <w:tabs>
          <w:tab w:val="num" w:pos="2880"/>
        </w:tabs>
        <w:ind w:left="2880" w:hanging="360"/>
      </w:pPr>
      <w:rPr>
        <w:rFonts w:ascii="Times New Roman" w:hAnsi="Times New Roman" w:hint="default"/>
      </w:rPr>
    </w:lvl>
    <w:lvl w:ilvl="4" w:tplc="C116F426" w:tentative="1">
      <w:start w:val="1"/>
      <w:numFmt w:val="bullet"/>
      <w:lvlText w:val="-"/>
      <w:lvlJc w:val="left"/>
      <w:pPr>
        <w:tabs>
          <w:tab w:val="num" w:pos="3600"/>
        </w:tabs>
        <w:ind w:left="3600" w:hanging="360"/>
      </w:pPr>
      <w:rPr>
        <w:rFonts w:ascii="Times New Roman" w:hAnsi="Times New Roman" w:hint="default"/>
      </w:rPr>
    </w:lvl>
    <w:lvl w:ilvl="5" w:tplc="E0C0E568">
      <w:start w:val="1"/>
      <w:numFmt w:val="bullet"/>
      <w:lvlText w:val="-"/>
      <w:lvlJc w:val="left"/>
      <w:pPr>
        <w:tabs>
          <w:tab w:val="num" w:pos="4320"/>
        </w:tabs>
        <w:ind w:left="4320" w:hanging="360"/>
      </w:pPr>
      <w:rPr>
        <w:rFonts w:ascii="Times New Roman" w:hAnsi="Times New Roman" w:hint="default"/>
      </w:rPr>
    </w:lvl>
    <w:lvl w:ilvl="6" w:tplc="89A4F606" w:tentative="1">
      <w:start w:val="1"/>
      <w:numFmt w:val="bullet"/>
      <w:lvlText w:val="-"/>
      <w:lvlJc w:val="left"/>
      <w:pPr>
        <w:tabs>
          <w:tab w:val="num" w:pos="5040"/>
        </w:tabs>
        <w:ind w:left="5040" w:hanging="360"/>
      </w:pPr>
      <w:rPr>
        <w:rFonts w:ascii="Times New Roman" w:hAnsi="Times New Roman" w:hint="default"/>
      </w:rPr>
    </w:lvl>
    <w:lvl w:ilvl="7" w:tplc="C95AFA62" w:tentative="1">
      <w:start w:val="1"/>
      <w:numFmt w:val="bullet"/>
      <w:lvlText w:val="-"/>
      <w:lvlJc w:val="left"/>
      <w:pPr>
        <w:tabs>
          <w:tab w:val="num" w:pos="5760"/>
        </w:tabs>
        <w:ind w:left="5760" w:hanging="360"/>
      </w:pPr>
      <w:rPr>
        <w:rFonts w:ascii="Times New Roman" w:hAnsi="Times New Roman" w:hint="default"/>
      </w:rPr>
    </w:lvl>
    <w:lvl w:ilvl="8" w:tplc="265271A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7"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1"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C5636"/>
    <w:multiLevelType w:val="hybridMultilevel"/>
    <w:tmpl w:val="1E96A50C"/>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4"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5"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7"/>
  </w:num>
  <w:num w:numId="4">
    <w:abstractNumId w:val="19"/>
  </w:num>
  <w:num w:numId="5">
    <w:abstractNumId w:val="15"/>
  </w:num>
  <w:num w:numId="6">
    <w:abstractNumId w:val="1"/>
  </w:num>
  <w:num w:numId="7">
    <w:abstractNumId w:val="9"/>
  </w:num>
  <w:num w:numId="8">
    <w:abstractNumId w:val="13"/>
  </w:num>
  <w:num w:numId="9">
    <w:abstractNumId w:val="23"/>
  </w:num>
  <w:num w:numId="10">
    <w:abstractNumId w:val="25"/>
  </w:num>
  <w:num w:numId="11">
    <w:abstractNumId w:val="16"/>
  </w:num>
  <w:num w:numId="12">
    <w:abstractNumId w:val="20"/>
  </w:num>
  <w:num w:numId="13">
    <w:abstractNumId w:val="8"/>
  </w:num>
  <w:num w:numId="14">
    <w:abstractNumId w:val="7"/>
  </w:num>
  <w:num w:numId="15">
    <w:abstractNumId w:val="21"/>
  </w:num>
  <w:num w:numId="16">
    <w:abstractNumId w:val="4"/>
  </w:num>
  <w:num w:numId="17">
    <w:abstractNumId w:val="17"/>
  </w:num>
  <w:num w:numId="18">
    <w:abstractNumId w:val="12"/>
  </w:num>
  <w:num w:numId="19">
    <w:abstractNumId w:val="14"/>
  </w:num>
  <w:num w:numId="20">
    <w:abstractNumId w:val="6"/>
  </w:num>
  <w:num w:numId="21">
    <w:abstractNumId w:val="0"/>
  </w:num>
  <w:num w:numId="22">
    <w:abstractNumId w:val="24"/>
  </w:num>
  <w:num w:numId="23">
    <w:abstractNumId w:val="18"/>
  </w:num>
  <w:num w:numId="24">
    <w:abstractNumId w:val="22"/>
  </w:num>
  <w:num w:numId="25">
    <w:abstractNumId w:val="5"/>
  </w:num>
  <w:num w:numId="26">
    <w:abstractNumId w:val="2"/>
  </w:num>
  <w:num w:numId="27">
    <w:abstractNumId w:val="3"/>
  </w:num>
  <w:num w:numId="28">
    <w:abstractNumId w:val="17"/>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ctiveWritingStyle w:appName="MSWord" w:lang="en-GB" w:vendorID="64" w:dllVersion="0" w:nlCheck="1" w:checkStyle="0"/>
  <w:activeWritingStyle w:appName="MSWord" w:lang="en-US" w:vendorID="64" w:dllVersion="0" w:nlCheck="1" w:checkStyle="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C3NDI0MDQ1NDIwNDZT0lEKTi0uzszPAykwrgUAxy7zASwAAAA="/>
  </w:docVars>
  <w:rsids>
    <w:rsidRoot w:val="00C155C4"/>
    <w:rsid w:val="000101E2"/>
    <w:rsid w:val="00011470"/>
    <w:rsid w:val="0001272D"/>
    <w:rsid w:val="00037EAC"/>
    <w:rsid w:val="0007000C"/>
    <w:rsid w:val="00077D7F"/>
    <w:rsid w:val="00083FDC"/>
    <w:rsid w:val="00091C85"/>
    <w:rsid w:val="00093C6A"/>
    <w:rsid w:val="000B1487"/>
    <w:rsid w:val="000B321B"/>
    <w:rsid w:val="000D157E"/>
    <w:rsid w:val="00125809"/>
    <w:rsid w:val="00131819"/>
    <w:rsid w:val="00132A04"/>
    <w:rsid w:val="001637F7"/>
    <w:rsid w:val="001669F9"/>
    <w:rsid w:val="00170E17"/>
    <w:rsid w:val="0017460B"/>
    <w:rsid w:val="00175941"/>
    <w:rsid w:val="0018305D"/>
    <w:rsid w:val="001966F4"/>
    <w:rsid w:val="001A45BA"/>
    <w:rsid w:val="001B2E58"/>
    <w:rsid w:val="001B6D2F"/>
    <w:rsid w:val="001C32D2"/>
    <w:rsid w:val="001C4290"/>
    <w:rsid w:val="001E1E68"/>
    <w:rsid w:val="001E3173"/>
    <w:rsid w:val="001E3EFA"/>
    <w:rsid w:val="001E62C4"/>
    <w:rsid w:val="001F3329"/>
    <w:rsid w:val="00205321"/>
    <w:rsid w:val="002119A6"/>
    <w:rsid w:val="0021240C"/>
    <w:rsid w:val="0021770D"/>
    <w:rsid w:val="00223DD1"/>
    <w:rsid w:val="00226B89"/>
    <w:rsid w:val="00237BDC"/>
    <w:rsid w:val="00246308"/>
    <w:rsid w:val="00255503"/>
    <w:rsid w:val="00261191"/>
    <w:rsid w:val="00280853"/>
    <w:rsid w:val="0028440F"/>
    <w:rsid w:val="00290A58"/>
    <w:rsid w:val="002B7069"/>
    <w:rsid w:val="002C6150"/>
    <w:rsid w:val="002D444E"/>
    <w:rsid w:val="002E38B4"/>
    <w:rsid w:val="002F62E5"/>
    <w:rsid w:val="0031263E"/>
    <w:rsid w:val="0032095F"/>
    <w:rsid w:val="0033013B"/>
    <w:rsid w:val="00341228"/>
    <w:rsid w:val="00350D2A"/>
    <w:rsid w:val="00362BCC"/>
    <w:rsid w:val="0036763D"/>
    <w:rsid w:val="00377E99"/>
    <w:rsid w:val="00385CC4"/>
    <w:rsid w:val="00391E3D"/>
    <w:rsid w:val="003938A2"/>
    <w:rsid w:val="003A67B8"/>
    <w:rsid w:val="003B2BC7"/>
    <w:rsid w:val="003D4E45"/>
    <w:rsid w:val="003E3E55"/>
    <w:rsid w:val="003F385B"/>
    <w:rsid w:val="003F394F"/>
    <w:rsid w:val="00400817"/>
    <w:rsid w:val="0040214A"/>
    <w:rsid w:val="00402CE1"/>
    <w:rsid w:val="004068DA"/>
    <w:rsid w:val="0043056A"/>
    <w:rsid w:val="004355A5"/>
    <w:rsid w:val="0044562D"/>
    <w:rsid w:val="00450FBB"/>
    <w:rsid w:val="00456D36"/>
    <w:rsid w:val="0046252E"/>
    <w:rsid w:val="00462C04"/>
    <w:rsid w:val="0046759C"/>
    <w:rsid w:val="00475B53"/>
    <w:rsid w:val="00475F7B"/>
    <w:rsid w:val="0049651D"/>
    <w:rsid w:val="004A6A8B"/>
    <w:rsid w:val="004C02BC"/>
    <w:rsid w:val="004F6922"/>
    <w:rsid w:val="00501082"/>
    <w:rsid w:val="005039A1"/>
    <w:rsid w:val="005039CD"/>
    <w:rsid w:val="00510F89"/>
    <w:rsid w:val="0051324E"/>
    <w:rsid w:val="00520120"/>
    <w:rsid w:val="00520F9E"/>
    <w:rsid w:val="005301FE"/>
    <w:rsid w:val="00535022"/>
    <w:rsid w:val="00540484"/>
    <w:rsid w:val="0054325F"/>
    <w:rsid w:val="00543F48"/>
    <w:rsid w:val="00564BE2"/>
    <w:rsid w:val="00567C4C"/>
    <w:rsid w:val="00582065"/>
    <w:rsid w:val="00590118"/>
    <w:rsid w:val="005B3346"/>
    <w:rsid w:val="005C6F8B"/>
    <w:rsid w:val="005E6866"/>
    <w:rsid w:val="005F05B2"/>
    <w:rsid w:val="005F5375"/>
    <w:rsid w:val="00601477"/>
    <w:rsid w:val="00611324"/>
    <w:rsid w:val="00636E60"/>
    <w:rsid w:val="00642716"/>
    <w:rsid w:val="00644B70"/>
    <w:rsid w:val="006466DA"/>
    <w:rsid w:val="006517A2"/>
    <w:rsid w:val="006529E4"/>
    <w:rsid w:val="00660A2F"/>
    <w:rsid w:val="00675F2E"/>
    <w:rsid w:val="00684A7D"/>
    <w:rsid w:val="00690981"/>
    <w:rsid w:val="006C6F77"/>
    <w:rsid w:val="006E2CF7"/>
    <w:rsid w:val="006E634F"/>
    <w:rsid w:val="006F2F0A"/>
    <w:rsid w:val="00700007"/>
    <w:rsid w:val="00700DAB"/>
    <w:rsid w:val="007011C6"/>
    <w:rsid w:val="00711381"/>
    <w:rsid w:val="0072276F"/>
    <w:rsid w:val="007456A0"/>
    <w:rsid w:val="00763918"/>
    <w:rsid w:val="00766330"/>
    <w:rsid w:val="00766F99"/>
    <w:rsid w:val="007705BC"/>
    <w:rsid w:val="00796D6A"/>
    <w:rsid w:val="007A1551"/>
    <w:rsid w:val="007F24FF"/>
    <w:rsid w:val="007F5912"/>
    <w:rsid w:val="007F6219"/>
    <w:rsid w:val="007F7C30"/>
    <w:rsid w:val="00801389"/>
    <w:rsid w:val="00805609"/>
    <w:rsid w:val="008114A8"/>
    <w:rsid w:val="0082773D"/>
    <w:rsid w:val="00834CDB"/>
    <w:rsid w:val="0083784B"/>
    <w:rsid w:val="00854FD2"/>
    <w:rsid w:val="00864F78"/>
    <w:rsid w:val="00866F53"/>
    <w:rsid w:val="00895414"/>
    <w:rsid w:val="008A2BA9"/>
    <w:rsid w:val="008A4C5F"/>
    <w:rsid w:val="008B21BB"/>
    <w:rsid w:val="008D045F"/>
    <w:rsid w:val="008E12EE"/>
    <w:rsid w:val="008F63B5"/>
    <w:rsid w:val="00902724"/>
    <w:rsid w:val="009171D5"/>
    <w:rsid w:val="009257D5"/>
    <w:rsid w:val="00946CA5"/>
    <w:rsid w:val="009562BC"/>
    <w:rsid w:val="00957397"/>
    <w:rsid w:val="009658A0"/>
    <w:rsid w:val="0097429C"/>
    <w:rsid w:val="009806A8"/>
    <w:rsid w:val="009829C8"/>
    <w:rsid w:val="0099419E"/>
    <w:rsid w:val="009D12EC"/>
    <w:rsid w:val="009E242A"/>
    <w:rsid w:val="009E4F0D"/>
    <w:rsid w:val="00A00A47"/>
    <w:rsid w:val="00A066AC"/>
    <w:rsid w:val="00A2241C"/>
    <w:rsid w:val="00A277BA"/>
    <w:rsid w:val="00A42E4E"/>
    <w:rsid w:val="00A43422"/>
    <w:rsid w:val="00A605A2"/>
    <w:rsid w:val="00A85E26"/>
    <w:rsid w:val="00A92F00"/>
    <w:rsid w:val="00AA3618"/>
    <w:rsid w:val="00AA4983"/>
    <w:rsid w:val="00AA5A3E"/>
    <w:rsid w:val="00AC64A2"/>
    <w:rsid w:val="00AC7B19"/>
    <w:rsid w:val="00AD2001"/>
    <w:rsid w:val="00AD327B"/>
    <w:rsid w:val="00AD7072"/>
    <w:rsid w:val="00AD7D30"/>
    <w:rsid w:val="00AF3AED"/>
    <w:rsid w:val="00B016E3"/>
    <w:rsid w:val="00B029EB"/>
    <w:rsid w:val="00B12FA3"/>
    <w:rsid w:val="00B170DD"/>
    <w:rsid w:val="00B328F2"/>
    <w:rsid w:val="00B3344F"/>
    <w:rsid w:val="00B33918"/>
    <w:rsid w:val="00B46B23"/>
    <w:rsid w:val="00B610C4"/>
    <w:rsid w:val="00B813B5"/>
    <w:rsid w:val="00B84A72"/>
    <w:rsid w:val="00B8582D"/>
    <w:rsid w:val="00B90B82"/>
    <w:rsid w:val="00B93FA7"/>
    <w:rsid w:val="00B945CD"/>
    <w:rsid w:val="00B97F23"/>
    <w:rsid w:val="00BB2C34"/>
    <w:rsid w:val="00BB2D3C"/>
    <w:rsid w:val="00BB7C53"/>
    <w:rsid w:val="00BC0DBB"/>
    <w:rsid w:val="00BD41F2"/>
    <w:rsid w:val="00BE7E7B"/>
    <w:rsid w:val="00BF79EA"/>
    <w:rsid w:val="00C137E1"/>
    <w:rsid w:val="00C155C4"/>
    <w:rsid w:val="00C1794A"/>
    <w:rsid w:val="00C22738"/>
    <w:rsid w:val="00C23C9C"/>
    <w:rsid w:val="00C33FEC"/>
    <w:rsid w:val="00C546C5"/>
    <w:rsid w:val="00C60D3E"/>
    <w:rsid w:val="00C612DE"/>
    <w:rsid w:val="00C67DEF"/>
    <w:rsid w:val="00C70A6E"/>
    <w:rsid w:val="00C753A5"/>
    <w:rsid w:val="00C80E8F"/>
    <w:rsid w:val="00C82C5D"/>
    <w:rsid w:val="00C86E99"/>
    <w:rsid w:val="00CB5E62"/>
    <w:rsid w:val="00CC3120"/>
    <w:rsid w:val="00CC6E06"/>
    <w:rsid w:val="00CE0D3A"/>
    <w:rsid w:val="00CE6416"/>
    <w:rsid w:val="00CE6626"/>
    <w:rsid w:val="00D105A6"/>
    <w:rsid w:val="00D14B9F"/>
    <w:rsid w:val="00D21881"/>
    <w:rsid w:val="00D321F4"/>
    <w:rsid w:val="00D33582"/>
    <w:rsid w:val="00D504DD"/>
    <w:rsid w:val="00D56353"/>
    <w:rsid w:val="00D579D0"/>
    <w:rsid w:val="00D61F34"/>
    <w:rsid w:val="00D6488D"/>
    <w:rsid w:val="00DA45AC"/>
    <w:rsid w:val="00DB55FD"/>
    <w:rsid w:val="00DC70D0"/>
    <w:rsid w:val="00DE019C"/>
    <w:rsid w:val="00DE0C5D"/>
    <w:rsid w:val="00DE32E0"/>
    <w:rsid w:val="00DF1712"/>
    <w:rsid w:val="00DF328F"/>
    <w:rsid w:val="00DF6BF8"/>
    <w:rsid w:val="00E42A72"/>
    <w:rsid w:val="00E46466"/>
    <w:rsid w:val="00E72B8B"/>
    <w:rsid w:val="00E74DA6"/>
    <w:rsid w:val="00E86DDC"/>
    <w:rsid w:val="00E91575"/>
    <w:rsid w:val="00E927F3"/>
    <w:rsid w:val="00EA4DB2"/>
    <w:rsid w:val="00EA7A7D"/>
    <w:rsid w:val="00EB1700"/>
    <w:rsid w:val="00EC3EED"/>
    <w:rsid w:val="00EC7D8F"/>
    <w:rsid w:val="00EE4DD5"/>
    <w:rsid w:val="00EE7A6B"/>
    <w:rsid w:val="00F061C2"/>
    <w:rsid w:val="00F226E3"/>
    <w:rsid w:val="00F26293"/>
    <w:rsid w:val="00F4179E"/>
    <w:rsid w:val="00F47710"/>
    <w:rsid w:val="00F51819"/>
    <w:rsid w:val="00F529BB"/>
    <w:rsid w:val="00F5312E"/>
    <w:rsid w:val="00F72FB3"/>
    <w:rsid w:val="00FB791E"/>
    <w:rsid w:val="00FE00FB"/>
    <w:rsid w:val="00FE0272"/>
    <w:rsid w:val="00FE37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19E"/>
    <w:pPr>
      <w:spacing w:before="240"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3"/>
      </w:numPr>
      <w:pBdr>
        <w:top w:val="single" w:sz="12" w:space="1" w:color="auto"/>
      </w:pBdr>
      <w:ind w:left="431" w:hanging="431"/>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690981"/>
    <w:pPr>
      <w:keepNext/>
      <w:keepLines/>
      <w:numPr>
        <w:ilvl w:val="1"/>
        <w:numId w:val="3"/>
      </w:numPr>
      <w:spacing w:before="12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690981"/>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 w:type="character" w:styleId="Hyperlink">
    <w:name w:val="Hyperlink"/>
    <w:uiPriority w:val="99"/>
    <w:rsid w:val="008B21BB"/>
    <w:rPr>
      <w:color w:val="0000FF"/>
      <w:u w:val="single"/>
    </w:rPr>
  </w:style>
  <w:style w:type="character" w:customStyle="1" w:styleId="B1Char1">
    <w:name w:val="B1 Char1"/>
    <w:link w:val="B1"/>
    <w:qFormat/>
    <w:locked/>
    <w:rsid w:val="00E74DA6"/>
    <w:rPr>
      <w:rFonts w:ascii="Times New Roman" w:eastAsia="Times New Roman" w:hAnsi="Times New Roman" w:cs="Times New Roman"/>
    </w:rPr>
  </w:style>
  <w:style w:type="paragraph" w:customStyle="1" w:styleId="B1">
    <w:name w:val="B1"/>
    <w:basedOn w:val="List"/>
    <w:link w:val="B1Char1"/>
    <w:qFormat/>
    <w:rsid w:val="00E74DA6"/>
    <w:pPr>
      <w:overflowPunct w:val="0"/>
      <w:autoSpaceDE w:val="0"/>
      <w:autoSpaceDN w:val="0"/>
      <w:adjustRightInd w:val="0"/>
      <w:spacing w:after="180" w:line="240" w:lineRule="auto"/>
      <w:ind w:left="568" w:hanging="284"/>
      <w:contextualSpacing w:val="0"/>
      <w:jc w:val="left"/>
    </w:pPr>
    <w:rPr>
      <w:rFonts w:eastAsia="Times New Roman" w:cs="Times New Roman"/>
    </w:rPr>
  </w:style>
  <w:style w:type="character" w:customStyle="1" w:styleId="B2Char">
    <w:name w:val="B2 Char"/>
    <w:link w:val="B2"/>
    <w:qFormat/>
    <w:locked/>
    <w:rsid w:val="00E74DA6"/>
    <w:rPr>
      <w:rFonts w:ascii="Times New Roman" w:eastAsia="Times New Roman" w:hAnsi="Times New Roman" w:cs="Times New Roman"/>
    </w:rPr>
  </w:style>
  <w:style w:type="paragraph" w:customStyle="1" w:styleId="B2">
    <w:name w:val="B2"/>
    <w:basedOn w:val="List2"/>
    <w:link w:val="B2Char"/>
    <w:qFormat/>
    <w:rsid w:val="00E74DA6"/>
    <w:pPr>
      <w:overflowPunct w:val="0"/>
      <w:autoSpaceDE w:val="0"/>
      <w:autoSpaceDN w:val="0"/>
      <w:adjustRightInd w:val="0"/>
      <w:spacing w:after="180" w:line="240" w:lineRule="auto"/>
      <w:ind w:left="851" w:hanging="284"/>
      <w:contextualSpacing w:val="0"/>
      <w:jc w:val="left"/>
    </w:pPr>
    <w:rPr>
      <w:rFonts w:eastAsia="Times New Roman" w:cs="Times New Roman"/>
    </w:rPr>
  </w:style>
  <w:style w:type="paragraph" w:styleId="List">
    <w:name w:val="List"/>
    <w:basedOn w:val="Normal"/>
    <w:uiPriority w:val="99"/>
    <w:semiHidden/>
    <w:unhideWhenUsed/>
    <w:rsid w:val="00E74DA6"/>
    <w:pPr>
      <w:ind w:left="283" w:hanging="283"/>
      <w:contextualSpacing/>
    </w:pPr>
  </w:style>
  <w:style w:type="paragraph" w:styleId="List2">
    <w:name w:val="List 2"/>
    <w:basedOn w:val="Normal"/>
    <w:uiPriority w:val="99"/>
    <w:semiHidden/>
    <w:unhideWhenUsed/>
    <w:rsid w:val="00E74DA6"/>
    <w:pPr>
      <w:ind w:left="566" w:hanging="283"/>
      <w:contextualSpacing/>
    </w:pPr>
  </w:style>
  <w:style w:type="paragraph" w:styleId="Caption">
    <w:name w:val="caption"/>
    <w:basedOn w:val="Normal"/>
    <w:next w:val="Normal"/>
    <w:uiPriority w:val="35"/>
    <w:unhideWhenUsed/>
    <w:qFormat/>
    <w:rsid w:val="00237BDC"/>
    <w:pPr>
      <w:spacing w:before="0" w:after="200" w:line="240" w:lineRule="auto"/>
    </w:pPr>
    <w:rPr>
      <w:i/>
      <w:iCs/>
      <w:color w:val="44546A" w:themeColor="text2"/>
      <w:sz w:val="18"/>
      <w:szCs w:val="18"/>
    </w:rPr>
  </w:style>
  <w:style w:type="character" w:styleId="FollowedHyperlink">
    <w:name w:val="FollowedHyperlink"/>
    <w:basedOn w:val="DefaultParagraphFont"/>
    <w:uiPriority w:val="99"/>
    <w:semiHidden/>
    <w:unhideWhenUsed/>
    <w:rsid w:val="001C32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27710">
      <w:bodyDiv w:val="1"/>
      <w:marLeft w:val="0"/>
      <w:marRight w:val="0"/>
      <w:marTop w:val="0"/>
      <w:marBottom w:val="0"/>
      <w:divBdr>
        <w:top w:val="none" w:sz="0" w:space="0" w:color="auto"/>
        <w:left w:val="none" w:sz="0" w:space="0" w:color="auto"/>
        <w:bottom w:val="none" w:sz="0" w:space="0" w:color="auto"/>
        <w:right w:val="none" w:sz="0" w:space="0" w:color="auto"/>
      </w:divBdr>
    </w:div>
    <w:div w:id="1201555600">
      <w:bodyDiv w:val="1"/>
      <w:marLeft w:val="0"/>
      <w:marRight w:val="0"/>
      <w:marTop w:val="0"/>
      <w:marBottom w:val="0"/>
      <w:divBdr>
        <w:top w:val="none" w:sz="0" w:space="0" w:color="auto"/>
        <w:left w:val="none" w:sz="0" w:space="0" w:color="auto"/>
        <w:bottom w:val="none" w:sz="0" w:space="0" w:color="auto"/>
        <w:right w:val="none" w:sz="0" w:space="0" w:color="auto"/>
      </w:divBdr>
    </w:div>
    <w:div w:id="1334139901">
      <w:bodyDiv w:val="1"/>
      <w:marLeft w:val="0"/>
      <w:marRight w:val="0"/>
      <w:marTop w:val="0"/>
      <w:marBottom w:val="0"/>
      <w:divBdr>
        <w:top w:val="none" w:sz="0" w:space="0" w:color="auto"/>
        <w:left w:val="none" w:sz="0" w:space="0" w:color="auto"/>
        <w:bottom w:val="none" w:sz="0" w:space="0" w:color="auto"/>
        <w:right w:val="none" w:sz="0" w:space="0" w:color="auto"/>
      </w:divBdr>
    </w:div>
    <w:div w:id="1460495324">
      <w:bodyDiv w:val="1"/>
      <w:marLeft w:val="0"/>
      <w:marRight w:val="0"/>
      <w:marTop w:val="0"/>
      <w:marBottom w:val="0"/>
      <w:divBdr>
        <w:top w:val="none" w:sz="0" w:space="0" w:color="auto"/>
        <w:left w:val="none" w:sz="0" w:space="0" w:color="auto"/>
        <w:bottom w:val="none" w:sz="0" w:space="0" w:color="auto"/>
        <w:right w:val="none" w:sz="0" w:space="0" w:color="auto"/>
      </w:divBdr>
      <w:divsChild>
        <w:div w:id="1348216007">
          <w:marLeft w:val="979"/>
          <w:marRight w:val="0"/>
          <w:marTop w:val="0"/>
          <w:marBottom w:val="0"/>
          <w:divBdr>
            <w:top w:val="none" w:sz="0" w:space="0" w:color="auto"/>
            <w:left w:val="none" w:sz="0" w:space="0" w:color="auto"/>
            <w:bottom w:val="none" w:sz="0" w:space="0" w:color="auto"/>
            <w:right w:val="none" w:sz="0" w:space="0" w:color="auto"/>
          </w:divBdr>
        </w:div>
        <w:div w:id="696201335">
          <w:marLeft w:val="9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3gpp.org/ftp/TSG_RAN/TSG_RAN/TSGR_95e/Docs/RP-22097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TSG_RAN/TSGR_95e/Docs/RP-220953.zi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2405</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Tingyu Xin</cp:lastModifiedBy>
  <cp:revision>3</cp:revision>
  <dcterms:created xsi:type="dcterms:W3CDTF">2022-04-29T08:36:00Z</dcterms:created>
  <dcterms:modified xsi:type="dcterms:W3CDTF">2022-04-29T12:46:00Z</dcterms:modified>
</cp:coreProperties>
</file>